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jc w:val="left"/>
        <w:outlineLvl w:val="9"/>
        <w:rPr>
          <w:rFonts w:ascii="黑体" w:hAnsi="黑体" w:eastAsia="黑体" w:cs="宋体"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jc w:val="left"/>
        <w:outlineLvl w:val="9"/>
        <w:rPr>
          <w:rFonts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部分不合格项目的小知识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一、黄曲霉毒素B</w:t>
      </w:r>
      <w:r>
        <w:rPr>
          <w:rFonts w:hint="eastAsia" w:ascii="黑体" w:hAnsi="黑体" w:eastAsia="黑体"/>
          <w:sz w:val="32"/>
          <w:szCs w:val="32"/>
          <w:vertAlign w:val="subscript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黄曲霉毒素</w:t>
      </w:r>
      <w:r>
        <w:rPr>
          <w:rFonts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仿宋_GB2312" w:eastAsia="仿宋_GB2312"/>
          <w:sz w:val="32"/>
          <w:szCs w:val="32"/>
        </w:rPr>
        <w:t>是一种强致癌性的化学物质，其毒性作用主要是对肝脏的损害。《食品安全国家标准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sz w:val="32"/>
          <w:szCs w:val="32"/>
        </w:rPr>
        <w:t>GB 2761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）中规定，黄曲霉毒素</w:t>
      </w:r>
      <w:r>
        <w:rPr>
          <w:rFonts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仿宋_GB2312" w:eastAsia="仿宋_GB2312"/>
          <w:sz w:val="32"/>
          <w:szCs w:val="32"/>
        </w:rPr>
        <w:t>在花生油中的最大限量为</w:t>
      </w:r>
      <w:r>
        <w:rPr>
          <w:rFonts w:ascii="Times New Roman" w:hAnsi="Times New Roman" w:eastAsia="仿宋_GB2312"/>
          <w:sz w:val="32"/>
          <w:szCs w:val="32"/>
        </w:rPr>
        <w:t>20μg/kg。</w:t>
      </w:r>
      <w:r>
        <w:rPr>
          <w:rFonts w:hint="eastAsia" w:ascii="仿宋_GB2312" w:eastAsia="仿宋_GB2312"/>
          <w:sz w:val="32"/>
          <w:szCs w:val="32"/>
        </w:rPr>
        <w:t>花生油中黄曲霉毒素</w:t>
      </w:r>
      <w:r>
        <w:rPr>
          <w:rFonts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仿宋_GB2312" w:eastAsia="仿宋_GB2312"/>
          <w:sz w:val="32"/>
          <w:szCs w:val="32"/>
        </w:rPr>
        <w:t>超标的原因，可能是花生原料在储存过程中温度、湿度等条件控制不当；生产前对原料把关不严；精炼工艺不达标或工艺控制不当等。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spacing w:val="-12"/>
          <w:sz w:val="32"/>
          <w:szCs w:val="32"/>
        </w:rPr>
        <w:t>苯并［a］芘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baseline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苯并［a］芘是一种芳烃类化合物，在环境中广泛存在，具有一定致癌性、致畸性、致突变性。《食品安全国家标准 食品中污染物限量》（GB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2017）中规定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油脂及其制品中苯并［a］芘最大限量值为10μg/kg。食用植物油中苯并［a］芘超标的原因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可能是油料收储、晾晒不当，从环境、包装、机械收获、运输等过程中引入污染；生产中关键工艺控制不当等。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三、菌落总数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baseline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菌落总数是指示性微生物指标，主要用来评价食品清洁度，反映食品在生产过程中是否符合卫生要求。《食品安全国家标准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熟肉制品》（</w:t>
      </w:r>
      <w:r>
        <w:rPr>
          <w:rFonts w:ascii="Times New Roman" w:hAnsi="Times New Roman" w:eastAsia="仿宋_GB2312"/>
          <w:sz w:val="32"/>
          <w:szCs w:val="32"/>
        </w:rPr>
        <w:t>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2726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）中规定，熟肉制品（除发酵肉制品外），一个样品的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次检测结果均不得超过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ascii="Times New Roman" w:hAnsi="Times New Roman" w:eastAsia="仿宋_GB2312"/>
          <w:sz w:val="32"/>
          <w:szCs w:val="32"/>
        </w:rPr>
        <w:t>且至少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次检测结果不超过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 xml:space="preserve"> CFU/g</w:t>
      </w:r>
      <w:r>
        <w:rPr>
          <w:rFonts w:hint="eastAsia" w:ascii="Times New Roman" w:hAnsi="Times New Roman" w:eastAsia="仿宋_GB2312"/>
          <w:sz w:val="32"/>
          <w:szCs w:val="32"/>
        </w:rPr>
        <w:t>。菌落总数超标的原因，可能是个别企业所使用的原辅料初始菌数较高，又未按要求严格控制生产加工过程的卫生条件，或者包装容器清洗消毒不到位，还有可能与产品包装密封不严、储运条件控制不当等有关。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四、恩诺沙星（以恩诺沙星与环丙沙星之和计）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号）中规定，恩诺沙星（以恩诺沙星和环丙沙星之和计）可用于牛、羊、猪、兔、禽等食用畜禽及其</w:t>
      </w:r>
      <w:r>
        <w:rPr>
          <w:rFonts w:ascii="Times New Roman" w:hAnsi="Times New Roman" w:eastAsia="仿宋_GB2312"/>
          <w:sz w:val="32"/>
          <w:szCs w:val="32"/>
        </w:rPr>
        <w:t>他动物，在牛、禽和其他动物的肌肉及脂肪中的最高残留限量为100</w:t>
      </w:r>
      <w:r>
        <w:rPr>
          <w:rFonts w:ascii="Times New Roman" w:hAnsi="Times New Roman" w:eastAsia="仿宋_GB2312"/>
          <w:sz w:val="32"/>
          <w:szCs w:val="32"/>
          <w:lang w:bidi="ar"/>
        </w:rPr>
        <w:t>μg/kg，</w:t>
      </w:r>
      <w:r>
        <w:rPr>
          <w:rFonts w:hint="eastAsia" w:ascii="Times New Roman" w:hAnsi="Times New Roman" w:eastAsia="仿宋_GB2312"/>
          <w:sz w:val="32"/>
          <w:szCs w:val="32"/>
        </w:rPr>
        <w:t>在产蛋鸡中禁用（鸡蛋中不得检出）。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长期食用恩诺沙星残留超标的食品，对人体健康有一定影响。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五、腐霉利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腐霉利是一种低毒内吸性杀菌剂，具有保护和治疗双重作用，主要用于蔬菜及果树的灰霉病防治。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）中规定，</w:t>
      </w:r>
      <w:r>
        <w:rPr>
          <w:rFonts w:hint="eastAsia" w:ascii="仿宋_GB2312" w:eastAsia="仿宋_GB2312"/>
          <w:sz w:val="32"/>
          <w:szCs w:val="32"/>
        </w:rPr>
        <w:t>腐霉利</w:t>
      </w:r>
      <w:r>
        <w:rPr>
          <w:rFonts w:hint="eastAsia" w:ascii="Times New Roman" w:hAnsi="Times New Roman" w:eastAsia="仿宋_GB2312"/>
          <w:sz w:val="32"/>
          <w:szCs w:val="32"/>
        </w:rPr>
        <w:t>在韭菜中的最大残留限量为</w:t>
      </w:r>
      <w:r>
        <w:rPr>
          <w:rFonts w:ascii="Times New Roman" w:hAnsi="Times New Roman" w:eastAsia="仿宋_GB2312"/>
          <w:sz w:val="32"/>
          <w:szCs w:val="32"/>
        </w:rPr>
        <w:t>0.2mg/kg</w:t>
      </w:r>
      <w:r>
        <w:rPr>
          <w:rFonts w:hint="eastAsia" w:ascii="仿宋_GB2312" w:eastAsia="仿宋_GB2312"/>
          <w:sz w:val="32"/>
          <w:szCs w:val="32"/>
        </w:rPr>
        <w:t>。腐霉利对眼睛与皮肤有刺激作用，经口毒性低。</w:t>
      </w:r>
      <w:r>
        <w:rPr>
          <w:rFonts w:hint="eastAsia" w:ascii="Times New Roman" w:hAnsi="Times New Roman" w:eastAsia="仿宋_GB2312"/>
          <w:sz w:val="32"/>
          <w:szCs w:val="32"/>
        </w:rPr>
        <w:t>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六、氟苯尼考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号）中规定，氟苯尼考在产蛋鸡中禁用（鸡蛋中不得检出）。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正常情况下消费者不必对鸡蛋中检出氟苯尼考过分担心，但长期食用氟苯尼考残留超标的食品，对人体健康有一定影响。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七、克百威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克百威是一种广谱、高效、低残留、高毒性的氨基甲酸酯类杀虫、杀螨、杀线虫剂，具有内吸、触杀、胃毒作用，并有一定的杀卵作用。《食品安全国家标准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）中规定，克百威在豆类蔬菜中的最大残留限量为</w:t>
      </w:r>
      <w:r>
        <w:rPr>
          <w:rFonts w:ascii="Times New Roman" w:hAnsi="Times New Roman" w:eastAsia="仿宋_GB2312"/>
          <w:sz w:val="32"/>
          <w:szCs w:val="32"/>
        </w:rPr>
        <w:t>0.02mg/kg</w:t>
      </w:r>
      <w:r>
        <w:rPr>
          <w:rFonts w:hint="eastAsia" w:ascii="Times New Roman" w:hAnsi="Times New Roman" w:eastAsia="仿宋_GB2312"/>
          <w:sz w:val="32"/>
          <w:szCs w:val="32"/>
        </w:rPr>
        <w:t>。克百威不易降解，容易造成环境污染。少量的农药残留不会引起人体急性中毒，但长期食用农药残留超标的食品，对人体健康有一定影响。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八、地西泮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地西泮又名安定，</w:t>
      </w:r>
      <w:r>
        <w:rPr>
          <w:rFonts w:hint="eastAsia" w:ascii="仿宋_GB2312" w:eastAsia="仿宋_GB2312"/>
          <w:sz w:val="32"/>
          <w:szCs w:val="32"/>
        </w:rPr>
        <w:t>为镇静剂类药物，主要用于焦虑、镇</w:t>
      </w:r>
      <w:r>
        <w:rPr>
          <w:rFonts w:ascii="Times New Roman" w:hAnsi="Times New Roman" w:eastAsia="仿宋_GB2312"/>
          <w:sz w:val="32"/>
          <w:szCs w:val="32"/>
        </w:rPr>
        <w:t>静催眠，还可用于抗癫痫和抗惊厥。《动物性食品中兽药最高残留限量》（农业部公告第235号）中规定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地西泮在动物性食品中不得检出。地西泮可以降低新鲜活鱼对外界的感知能力，降低新陈代谢，保证其经过运输后仍然鲜活，但地西泮</w:t>
      </w:r>
      <w:r>
        <w:rPr>
          <w:rFonts w:hint="eastAsia" w:ascii="Times New Roman" w:hAnsi="Times New Roman" w:eastAsia="仿宋_GB2312"/>
          <w:sz w:val="32"/>
          <w:szCs w:val="32"/>
        </w:rPr>
        <w:t>在鱼体内残留是永久性的，它可以通过食物链传递给人类</w:t>
      </w:r>
      <w:r>
        <w:rPr>
          <w:rFonts w:hint="eastAsia" w:ascii="仿宋_GB2312" w:eastAsia="仿宋_GB2312"/>
          <w:sz w:val="32"/>
          <w:szCs w:val="32"/>
        </w:rPr>
        <w:t>。地西泮超过一定剂量会引起人体嗜睡疲乏、动作失调、精神混乱等，严重者还将出现心律失常、昏迷等症状。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九、镉（以Cd计）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镉是最常见的重金属元素污染物之一。《食品安全国家标准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）中规定，镉在鲜、冻水产动物的甲壳类中限量为</w:t>
      </w:r>
      <w:r>
        <w:rPr>
          <w:rFonts w:ascii="Times New Roman" w:hAnsi="Times New Roman" w:eastAsia="仿宋_GB2312"/>
          <w:sz w:val="32"/>
          <w:szCs w:val="32"/>
        </w:rPr>
        <w:t>0.5mg/kg</w:t>
      </w:r>
      <w:r>
        <w:rPr>
          <w:rFonts w:hint="eastAsia" w:ascii="Times New Roman" w:hAnsi="Times New Roman" w:eastAsia="仿宋_GB2312"/>
          <w:sz w:val="32"/>
          <w:szCs w:val="32"/>
        </w:rPr>
        <w:t>。水产品中镉超标可能是水产品养殖过程中对环境中镉元素的富集。镉对人体的危害主要是慢性蓄积性，长期大量摄入镉含量超标的食品可能导致肾和骨骼损伤等。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十、毒死蜱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毒死蜱是一种具有触杀、胃毒和熏蒸作用的有机磷杀虫剂。《食品安全国家标准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）中规定，毒死蜱在韭菜中的最大残留限量为</w:t>
      </w:r>
      <w:r>
        <w:rPr>
          <w:rFonts w:ascii="Times New Roman" w:hAnsi="Times New Roman" w:eastAsia="仿宋_GB2312" w:cs="仿宋_GB2312"/>
          <w:sz w:val="32"/>
          <w:szCs w:val="32"/>
        </w:rPr>
        <w:t>0.1mg/kg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毒死蜱对鱼类及水生生物毒性较高，在土壤中残留期较长。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长期暴露在含有毒死蜱的环境中，可能会导致神经毒性、生殖毒性，影响胚胎的生长发育。</w:t>
      </w:r>
      <w:r>
        <w:rPr>
          <w:rFonts w:hint="eastAsia" w:ascii="Times New Roman" w:hAnsi="Times New Roman" w:eastAsia="仿宋_GB2312"/>
          <w:sz w:val="32"/>
          <w:szCs w:val="32"/>
        </w:rPr>
        <w:t>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十一、磺胺类（总量）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磺胺类药物具有</w:t>
      </w:r>
      <w:r>
        <w:fldChar w:fldCharType="begin"/>
      </w:r>
      <w:r>
        <w:instrText xml:space="preserve"> HYPERLINK "https://baike.so.com/doc/6169521-6382757.html" \t "https://baike.so.com/doc/_blank" </w:instrText>
      </w:r>
      <w:r>
        <w:fldChar w:fldCharType="separate"/>
      </w:r>
      <w:r>
        <w:rPr>
          <w:rStyle w:val="5"/>
          <w:rFonts w:ascii="Times New Roman" w:hAnsi="Times New Roman" w:eastAsia="仿宋_GB2312"/>
          <w:color w:val="auto"/>
          <w:sz w:val="32"/>
          <w:szCs w:val="32"/>
          <w:u w:val="none"/>
        </w:rPr>
        <w:t>抗菌谱</w:t>
      </w:r>
      <w:r>
        <w:rPr>
          <w:rStyle w:val="5"/>
          <w:rFonts w:ascii="Times New Roman" w:hAnsi="Times New Roman" w:eastAsia="仿宋_GB2312"/>
          <w:color w:val="auto"/>
          <w:sz w:val="32"/>
          <w:szCs w:val="32"/>
          <w:u w:val="none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较广、性质稳定、使用简便的一类人工合成的抗菌药，对大多数革兰氏阳性菌和阴性菌都有较强抑制作用，广泛用于防止鸡球虫病。《动物性食品中兽药最高残留限量》（农业部公告第235号）中规定，磺胺类在所有食品动物的肌肉和脂肪中的最高残留限量为100</w:t>
      </w:r>
      <w:r>
        <w:rPr>
          <w:rFonts w:ascii="Times New Roman" w:hAnsi="Times New Roman" w:eastAsia="仿宋_GB2312"/>
          <w:sz w:val="32"/>
          <w:szCs w:val="32"/>
          <w:lang w:bidi="ar"/>
        </w:rPr>
        <w:t>μg/kg</w:t>
      </w:r>
      <w:r>
        <w:rPr>
          <w:rFonts w:ascii="Times New Roman" w:hAnsi="Times New Roman" w:eastAsia="仿宋_GB2312"/>
          <w:sz w:val="32"/>
          <w:szCs w:val="32"/>
        </w:rPr>
        <w:t>。长期摄入磺胺类超标的动物性食品，可能导致泌尿系统和肝脏损伤等健康危害。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592" w:firstLineChars="200"/>
        <w:outlineLvl w:val="9"/>
        <w:rPr>
          <w:rFonts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十二、丙溴磷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丙溴磷是一种具有触杀和胃毒作用，专用于杀灭刺吸式口器害虫的超高效有机磷杀虫剂。《食品安全国家标准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）中规定，丙溴磷在柑橘中的最大残留限量为</w:t>
      </w:r>
      <w:r>
        <w:rPr>
          <w:rFonts w:ascii="Times New Roman" w:hAnsi="Times New Roman" w:eastAsia="仿宋_GB2312"/>
          <w:sz w:val="32"/>
          <w:szCs w:val="32"/>
        </w:rPr>
        <w:t>0.2mg/kg</w:t>
      </w:r>
      <w:r>
        <w:rPr>
          <w:rFonts w:hint="eastAsia" w:ascii="Times New Roman" w:hAnsi="Times New Roman" w:eastAsia="仿宋_GB2312"/>
          <w:sz w:val="32"/>
          <w:szCs w:val="32"/>
        </w:rPr>
        <w:t>。少量的农药残留不会引起人体急性中毒，但长期食用农药残留超标的食品，对人体健康有一定影响。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baseline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A3"/>
    <w:rsid w:val="002074A3"/>
    <w:rsid w:val="00281FDA"/>
    <w:rsid w:val="00620EAF"/>
    <w:rsid w:val="008E3D1F"/>
    <w:rsid w:val="008E7F33"/>
    <w:rsid w:val="00A25940"/>
    <w:rsid w:val="00C522F4"/>
    <w:rsid w:val="00C76C16"/>
    <w:rsid w:val="00EE3BD0"/>
    <w:rsid w:val="0F4F230A"/>
    <w:rsid w:val="21C541E9"/>
    <w:rsid w:val="5DFE4093"/>
    <w:rsid w:val="60E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360</Words>
  <Characters>2052</Characters>
  <Lines>17</Lines>
  <Paragraphs>4</Paragraphs>
  <TotalTime>1</TotalTime>
  <ScaleCrop>false</ScaleCrop>
  <LinksUpToDate>false</LinksUpToDate>
  <CharactersWithSpaces>2408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2018-12-14T09:38:00Z</dcterms:created>
  <dc:creator>yyh</dc:creator>
  <cp:lastModifiedBy>文子</cp:lastModifiedBy>
  <cp:lastPrinted>2019-01-09T00:52:00Z</cp:lastPrinted>
  <dcterms:modified xsi:type="dcterms:W3CDTF">2019-01-15T09:04:50Z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