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32" w:rsidRDefault="00E57DC1">
      <w:pPr>
        <w:widowControl/>
        <w:jc w:val="left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24"/>
        </w:rPr>
        <w:t>2</w:t>
      </w:r>
    </w:p>
    <w:p w:rsidR="00886332" w:rsidRDefault="0088633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886332" w:rsidRDefault="00E57D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部分不合格项目的小知识</w:t>
      </w:r>
    </w:p>
    <w:p w:rsidR="00886332" w:rsidRDefault="00886332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</w:p>
    <w:p w:rsidR="00886332" w:rsidRDefault="00E57DC1">
      <w:pPr>
        <w:spacing w:line="640" w:lineRule="exact"/>
        <w:ind w:firstLineChars="200" w:firstLine="59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一</w:t>
      </w:r>
      <w:r>
        <w:rPr>
          <w:rFonts w:ascii="Times New Roman" w:eastAsia="黑体" w:hAnsi="Times New Roman"/>
          <w:spacing w:val="-12"/>
          <w:sz w:val="32"/>
          <w:szCs w:val="32"/>
        </w:rPr>
        <w:t>、铅</w:t>
      </w:r>
    </w:p>
    <w:p w:rsidR="00886332" w:rsidRDefault="00E57DC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铅是一种慢性和积累性的</w:t>
      </w:r>
      <w:r>
        <w:rPr>
          <w:rFonts w:ascii="Times New Roman" w:eastAsia="仿宋_GB2312" w:hAnsi="Times New Roman"/>
          <w:color w:val="000000"/>
          <w:sz w:val="32"/>
          <w:szCs w:val="32"/>
        </w:rPr>
        <w:t>重金属污染物</w:t>
      </w:r>
      <w:r>
        <w:rPr>
          <w:rFonts w:ascii="Times New Roman" w:eastAsia="仿宋_GB2312" w:hAnsi="Times New Roman"/>
          <w:sz w:val="32"/>
          <w:szCs w:val="32"/>
        </w:rPr>
        <w:t>，进入人体后，少部分会随着身体代谢排出体外，大部分会在体内蓄积。《食品安全国家标准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）中规定，</w:t>
      </w:r>
      <w:r>
        <w:rPr>
          <w:rFonts w:ascii="Times New Roman" w:eastAsia="仿宋_GB2312" w:hAnsi="Times New Roman"/>
          <w:color w:val="000000"/>
          <w:sz w:val="32"/>
          <w:szCs w:val="32"/>
        </w:rPr>
        <w:t>油脂及其制品中铅（以</w:t>
      </w:r>
      <w:r>
        <w:rPr>
          <w:rFonts w:ascii="Times New Roman" w:eastAsia="仿宋_GB2312" w:hAnsi="Times New Roman"/>
          <w:color w:val="000000"/>
          <w:sz w:val="32"/>
          <w:szCs w:val="32"/>
        </w:rPr>
        <w:t>Pb</w:t>
      </w:r>
      <w:r>
        <w:rPr>
          <w:rFonts w:ascii="Times New Roman" w:eastAsia="仿宋_GB2312" w:hAnsi="Times New Roman"/>
          <w:color w:val="000000"/>
          <w:sz w:val="32"/>
          <w:szCs w:val="32"/>
        </w:rPr>
        <w:t>计）最大</w:t>
      </w:r>
      <w:r>
        <w:rPr>
          <w:rFonts w:ascii="Times New Roman" w:eastAsia="仿宋_GB2312" w:hAnsi="Times New Roman"/>
          <w:sz w:val="32"/>
          <w:szCs w:val="32"/>
        </w:rPr>
        <w:t>限量值为</w:t>
      </w:r>
      <w:r>
        <w:rPr>
          <w:rFonts w:ascii="Times New Roman" w:eastAsia="仿宋_GB2312" w:hAnsi="Times New Roman"/>
          <w:color w:val="000000"/>
          <w:sz w:val="32"/>
          <w:szCs w:val="32"/>
        </w:rPr>
        <w:t>0.1mg/kg</w:t>
      </w:r>
      <w:r>
        <w:rPr>
          <w:rFonts w:ascii="Times New Roman" w:eastAsia="仿宋_GB2312" w:hAnsi="Times New Roman"/>
          <w:sz w:val="32"/>
          <w:szCs w:val="32"/>
        </w:rPr>
        <w:t>。铅含量超标可能是生产企业对原料把关不严，使用了铅含量超标的原料，</w:t>
      </w:r>
      <w:r>
        <w:rPr>
          <w:rFonts w:ascii="Times New Roman" w:eastAsia="仿宋_GB2312" w:hAnsi="Times New Roman" w:hint="eastAsia"/>
          <w:sz w:val="32"/>
          <w:szCs w:val="32"/>
        </w:rPr>
        <w:t>也</w:t>
      </w:r>
      <w:r>
        <w:rPr>
          <w:rFonts w:ascii="Times New Roman" w:eastAsia="仿宋_GB2312" w:hAnsi="Times New Roman" w:hint="eastAsia"/>
          <w:sz w:val="32"/>
          <w:szCs w:val="32"/>
        </w:rPr>
        <w:t>可能是</w:t>
      </w:r>
      <w:r>
        <w:rPr>
          <w:rFonts w:ascii="Times New Roman" w:eastAsia="仿宋_GB2312" w:hAnsi="Times New Roman"/>
          <w:sz w:val="32"/>
          <w:szCs w:val="32"/>
        </w:rPr>
        <w:t>污染物从生产设备迁移入食品</w:t>
      </w:r>
      <w:r>
        <w:rPr>
          <w:rFonts w:ascii="Times New Roman" w:eastAsia="仿宋_GB2312" w:hAnsi="Times New Roman" w:hint="eastAsia"/>
          <w:sz w:val="32"/>
          <w:szCs w:val="32"/>
        </w:rPr>
        <w:t>导致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86332" w:rsidRDefault="00E57DC1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Times New Roman"/>
          <w:spacing w:val="-12"/>
          <w:sz w:val="32"/>
          <w:szCs w:val="32"/>
        </w:rPr>
        <w:t>、过氧化值</w:t>
      </w:r>
    </w:p>
    <w:p w:rsidR="00886332" w:rsidRDefault="00E57DC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过氧化值主要反映油脂是否氧化变质。随着油脂氧化，过氧化值会逐步升高，一般不会影响人体健康，但过高时可能会引起肠胃不适、腹泻等症状。《食用调和油》（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SB/T 10292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1998</w:t>
      </w:r>
      <w:r>
        <w:rPr>
          <w:rFonts w:ascii="Times New Roman" w:eastAsia="仿宋_GB2312" w:hAnsi="Times New Roman"/>
          <w:sz w:val="32"/>
          <w:szCs w:val="32"/>
        </w:rPr>
        <w:t>）中规定，调和油中过氧化值最大限量值为</w:t>
      </w:r>
      <w:r>
        <w:rPr>
          <w:rFonts w:ascii="Times New Roman" w:eastAsia="仿宋_GB2312" w:hAnsi="Times New Roman"/>
          <w:sz w:val="32"/>
          <w:szCs w:val="32"/>
        </w:rPr>
        <w:t>12meq/kg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</w:rPr>
        <w:t>饼干》（</w:t>
      </w:r>
      <w:r>
        <w:rPr>
          <w:rFonts w:ascii="Times New Roman" w:eastAsia="仿宋_GB2312" w:hAnsi="Times New Roman"/>
          <w:kern w:val="0"/>
          <w:sz w:val="32"/>
          <w:szCs w:val="32"/>
        </w:rPr>
        <w:t>GB 7100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2015</w:t>
      </w:r>
      <w:r>
        <w:rPr>
          <w:rFonts w:ascii="Times New Roman" w:eastAsia="仿宋_GB2312" w:hAnsi="Times New Roman"/>
          <w:kern w:val="0"/>
          <w:sz w:val="32"/>
          <w:szCs w:val="32"/>
        </w:rPr>
        <w:t>）中规定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饼干中过氧化值（以脂肪计）的最大限量值为</w:t>
      </w:r>
      <w:r>
        <w:rPr>
          <w:rFonts w:ascii="Times New Roman" w:eastAsia="仿宋_GB2312" w:hAnsi="Times New Roman"/>
          <w:kern w:val="0"/>
          <w:sz w:val="32"/>
          <w:szCs w:val="32"/>
        </w:rPr>
        <w:t>0.25g/100g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过氧化值超标的原因，可能是原料中的脂肪已经氧化，或者是由于原料储存不当、产品在储存过程中环境条件控制不当等导致油脂酸败；此外，植物油精炼不到位也可能造成食用</w:t>
      </w:r>
      <w:r>
        <w:rPr>
          <w:rFonts w:ascii="Times New Roman" w:eastAsia="仿宋_GB2312" w:hAnsi="Times New Roman"/>
          <w:sz w:val="32"/>
          <w:szCs w:val="32"/>
        </w:rPr>
        <w:t>油、油脂及其制品的过氧化值不合格。</w:t>
      </w:r>
    </w:p>
    <w:p w:rsidR="00886332" w:rsidRDefault="00E57DC1">
      <w:pPr>
        <w:spacing w:line="640" w:lineRule="exact"/>
        <w:ind w:firstLineChars="200" w:firstLine="592"/>
        <w:rPr>
          <w:rFonts w:ascii="Times New Roman" w:hAnsi="Times New Roman"/>
          <w:kern w:val="0"/>
          <w:sz w:val="24"/>
          <w:szCs w:val="24"/>
          <w:lang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三、</w:t>
      </w:r>
      <w:bookmarkStart w:id="0" w:name="_Hlk530646499"/>
      <w:r>
        <w:rPr>
          <w:rFonts w:ascii="Times New Roman" w:eastAsia="黑体" w:hAnsi="Times New Roman" w:hint="eastAsia"/>
          <w:spacing w:val="-12"/>
          <w:sz w:val="32"/>
          <w:szCs w:val="32"/>
        </w:rPr>
        <w:t>苯甲酸及其钠盐（以苯甲酸计）</w:t>
      </w:r>
      <w:bookmarkEnd w:id="0"/>
      <w:r>
        <w:rPr>
          <w:rFonts w:ascii="Times New Roman" w:eastAsia="黑体" w:hAnsi="Times New Roman" w:hint="eastAsia"/>
          <w:spacing w:val="-12"/>
          <w:sz w:val="32"/>
          <w:szCs w:val="32"/>
        </w:rPr>
        <w:t xml:space="preserve">　</w:t>
      </w:r>
    </w:p>
    <w:p w:rsidR="00886332" w:rsidRDefault="00E57DC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苯甲酸及其钠盐（以苯甲酸计）是常用的防腐剂。苯甲酸及其钠盐（以苯甲酸计）的安全性较高，少量苯甲酸对人体无毒害，可随尿液排出体外，在人体内不会蓄积。但过量食入苯甲酸会引起腹泻、肚痛、心跳快等症状，长期使用可能引起肝肾脏的慢性损害。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）中规定，蛋制品中不得使用苯甲酸及其钠盐（以苯甲酸计）。造成苯甲酸及其钠盐（以苯甲酸计）不合格的原因，可能是蛋制品生产企业为延长蛋制品保质期而在蛋制</w:t>
      </w:r>
      <w:r>
        <w:rPr>
          <w:rFonts w:ascii="Times New Roman" w:eastAsia="仿宋_GB2312" w:hAnsi="Times New Roman" w:hint="eastAsia"/>
          <w:sz w:val="32"/>
          <w:szCs w:val="32"/>
        </w:rPr>
        <w:t>品生产制作和加工处理环节违规使用防腐剂。</w:t>
      </w:r>
    </w:p>
    <w:p w:rsidR="00886332" w:rsidRDefault="00E57DC1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四、大肠菌群</w:t>
      </w:r>
    </w:p>
    <w:p w:rsidR="00886332" w:rsidRDefault="00E57DC1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大肠菌群是国内外通用的食品污染常用指示菌之一。</w:t>
      </w:r>
      <w:r>
        <w:rPr>
          <w:rFonts w:ascii="Times New Roman" w:eastAsia="仿宋_GB2312" w:hAnsi="Times New Roman"/>
          <w:kern w:val="0"/>
          <w:sz w:val="32"/>
          <w:szCs w:val="32"/>
        </w:rPr>
        <w:t>食品中大肠菌群</w:t>
      </w:r>
      <w:r>
        <w:rPr>
          <w:rFonts w:eastAsia="仿宋_GB2312" w:hint="eastAsia"/>
          <w:kern w:val="0"/>
          <w:sz w:val="32"/>
          <w:szCs w:val="32"/>
        </w:rPr>
        <w:t>不合格，说明食品存在卫生质量缺陷，提示该食品中存在被肠道致病菌污染的可能，对人体健康具有潜在危害，尤其对老人、小孩的危害更大。《食品安全国家标准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豆制品》（</w:t>
      </w:r>
      <w:r>
        <w:rPr>
          <w:rFonts w:eastAsia="仿宋_GB2312" w:hint="eastAsia"/>
          <w:kern w:val="0"/>
          <w:sz w:val="32"/>
          <w:szCs w:val="32"/>
        </w:rPr>
        <w:t>GB 2712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 w:hint="eastAsia"/>
          <w:kern w:val="0"/>
          <w:sz w:val="32"/>
          <w:szCs w:val="32"/>
        </w:rPr>
        <w:t>2014</w:t>
      </w:r>
      <w:r>
        <w:rPr>
          <w:rFonts w:eastAsia="仿宋_GB2312" w:hint="eastAsia"/>
          <w:kern w:val="0"/>
          <w:sz w:val="32"/>
          <w:szCs w:val="32"/>
        </w:rPr>
        <w:t>）中规定，同一批次样品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个独立包装的大肠菌群检测</w:t>
      </w:r>
      <w:r>
        <w:rPr>
          <w:rFonts w:ascii="Times New Roman" w:eastAsia="仿宋_GB2312" w:hAnsi="Times New Roman"/>
          <w:kern w:val="0"/>
          <w:sz w:val="32"/>
          <w:szCs w:val="32"/>
        </w:rPr>
        <w:t>结果均不得超过</w:t>
      </w:r>
      <w:r>
        <w:rPr>
          <w:rFonts w:ascii="Times New Roman" w:eastAsia="仿宋_GB2312" w:hAnsi="Times New Roman"/>
          <w:kern w:val="0"/>
          <w:sz w:val="32"/>
          <w:szCs w:val="32"/>
        </w:rPr>
        <w:t>1000CFU/g</w:t>
      </w:r>
      <w:r>
        <w:rPr>
          <w:rFonts w:ascii="Times New Roman" w:eastAsia="仿宋_GB2312" w:hAnsi="Times New Roman"/>
          <w:kern w:val="0"/>
          <w:sz w:val="32"/>
          <w:szCs w:val="32"/>
        </w:rPr>
        <w:t>且至少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个独立包装的检测结果不超过</w:t>
      </w:r>
      <w:r>
        <w:rPr>
          <w:rFonts w:ascii="Times New Roman" w:eastAsia="仿宋_GB2312" w:hAnsi="Times New Roman"/>
          <w:kern w:val="0"/>
          <w:sz w:val="32"/>
          <w:szCs w:val="32"/>
        </w:rPr>
        <w:t>100CFU/g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kern w:val="0"/>
          <w:sz w:val="32"/>
          <w:szCs w:val="32"/>
        </w:rPr>
        <w:t>造成</w:t>
      </w:r>
      <w:r>
        <w:rPr>
          <w:rFonts w:eastAsia="仿宋_GB2312" w:hint="eastAsia"/>
          <w:kern w:val="0"/>
          <w:sz w:val="32"/>
          <w:szCs w:val="32"/>
        </w:rPr>
        <w:t>大肠菌群超标的原因，可能是产品的加工原料、包装材料受污染，或在生产过程中产品受到人员、工具器具等生产设备、环境污染。</w:t>
      </w:r>
    </w:p>
    <w:p w:rsidR="00886332" w:rsidRDefault="00E57DC1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五、氟苯尼考</w:t>
      </w:r>
    </w:p>
    <w:p w:rsidR="00886332" w:rsidRDefault="00E57DC1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</w:t>
      </w:r>
      <w:r>
        <w:rPr>
          <w:rFonts w:ascii="Times New Roman" w:eastAsia="仿宋_GB2312" w:hAnsi="Times New Roman" w:hint="eastAsia"/>
          <w:sz w:val="32"/>
          <w:szCs w:val="32"/>
          <w:lang/>
        </w:rPr>
        <w:t>正常情况下消费者不必对鸡蛋中检出氟苯尼考过分担心，但长期食用氟苯尼考残留超标的食品，对人体健康有一定影响。</w:t>
      </w:r>
    </w:p>
    <w:p w:rsidR="00886332" w:rsidRDefault="00E57DC1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六、甲拌磷</w:t>
      </w:r>
    </w:p>
    <w:p w:rsidR="00886332" w:rsidRDefault="00E57DC1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甲拌磷为一种高毒的内吸性杀虫剂、杀螨剂，具有触杀、</w:t>
      </w:r>
      <w:r>
        <w:rPr>
          <w:rFonts w:ascii="仿宋_GB2312" w:eastAsia="仿宋_GB2312" w:hint="eastAsia"/>
          <w:sz w:val="32"/>
          <w:szCs w:val="32"/>
        </w:rPr>
        <w:t>胃毒、熏蒸作用，持效期较长等特点。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甲拌磷</w:t>
      </w:r>
      <w:r>
        <w:rPr>
          <w:rFonts w:ascii="Times New Roman" w:eastAsia="仿宋_GB2312" w:hAnsi="Times New Roman" w:hint="eastAsia"/>
          <w:sz w:val="32"/>
          <w:szCs w:val="32"/>
        </w:rPr>
        <w:t>在叶菜类蔬菜中的最大残留限量为</w:t>
      </w:r>
      <w:r>
        <w:rPr>
          <w:rFonts w:ascii="Times New Roman" w:eastAsia="仿宋_GB2312" w:hAnsi="Times New Roman" w:cs="仿宋_GB2312"/>
          <w:sz w:val="32"/>
          <w:szCs w:val="32"/>
        </w:rPr>
        <w:t>0.01mg/kg</w:t>
      </w:r>
      <w:r>
        <w:rPr>
          <w:rFonts w:ascii="仿宋_GB2312" w:eastAsia="仿宋_GB2312" w:hint="eastAsia"/>
          <w:sz w:val="32"/>
          <w:szCs w:val="32"/>
        </w:rPr>
        <w:t>。甲拌磷对人、畜剧毒，短期内大量接触（口服、吸入、皮肤、粘膜）可引起急性中毒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886332" w:rsidRDefault="00E57DC1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七、孔雀石绿</w:t>
      </w:r>
    </w:p>
    <w:p w:rsidR="00886332" w:rsidRDefault="00E57DC1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孔雀石绿属于有毒的三苯甲烷类化学物，既是染料，也是杀真菌、细菌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寄生虫的药物。《动物性食品中兽药最高残留限量》（农业部公告第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/>
          <w:sz w:val="32"/>
          <w:szCs w:val="32"/>
        </w:rPr>
        <w:t>号）中规定，孔雀石绿为禁止使用的药</w:t>
      </w:r>
      <w:r>
        <w:rPr>
          <w:rFonts w:ascii="Times New Roman" w:eastAsia="仿宋_GB2312" w:hAnsi="Times New Roman"/>
          <w:sz w:val="32"/>
          <w:szCs w:val="32"/>
        </w:rPr>
        <w:t>物，在动物性食品中不得检出。长期食用</w:t>
      </w:r>
      <w:r>
        <w:rPr>
          <w:rFonts w:ascii="Times New Roman" w:eastAsia="仿宋_GB2312" w:hAnsi="Times New Roman" w:hint="eastAsia"/>
          <w:sz w:val="32"/>
          <w:szCs w:val="32"/>
        </w:rPr>
        <w:t>含有</w:t>
      </w:r>
      <w:r>
        <w:rPr>
          <w:rFonts w:ascii="Times New Roman" w:eastAsia="仿宋_GB2312" w:hAnsi="Times New Roman"/>
          <w:sz w:val="32"/>
          <w:szCs w:val="32"/>
        </w:rPr>
        <w:t>孔雀石绿的食品可能会危害人体健康。</w:t>
      </w:r>
    </w:p>
    <w:p w:rsidR="00886332" w:rsidRDefault="00E57DC1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八、磺胺类（总量）</w:t>
      </w:r>
    </w:p>
    <w:p w:rsidR="00886332" w:rsidRDefault="00E57DC1">
      <w:pPr>
        <w:spacing w:line="64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磺胺类药物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一类</w:t>
      </w:r>
      <w:hyperlink r:id="rId7" w:tgtFrame="https://baike.so.com/doc/_blank" w:history="1">
        <w:r>
          <w:rPr>
            <w:rFonts w:ascii="Times New Roman" w:eastAsia="仿宋_GB2312" w:hAnsi="Times New Roman"/>
            <w:sz w:val="32"/>
            <w:szCs w:val="32"/>
          </w:rPr>
          <w:t>抗菌谱</w:t>
        </w:r>
      </w:hyperlink>
      <w:r>
        <w:rPr>
          <w:rFonts w:ascii="Times New Roman" w:eastAsia="仿宋_GB2312" w:hAnsi="Times New Roman"/>
          <w:sz w:val="32"/>
          <w:szCs w:val="32"/>
        </w:rPr>
        <w:t>较广、性质稳定、使用简便的人工合成抗菌药，对大多数革兰氏阳性菌和阴性菌都有较强抑制作用，广泛用于防</w:t>
      </w:r>
      <w:r>
        <w:rPr>
          <w:rFonts w:ascii="Times New Roman" w:eastAsia="仿宋_GB2312" w:hAnsi="Times New Roman" w:hint="eastAsia"/>
          <w:sz w:val="32"/>
          <w:szCs w:val="32"/>
        </w:rPr>
        <w:t>治</w:t>
      </w:r>
      <w:bookmarkStart w:id="1" w:name="_GoBack"/>
      <w:bookmarkEnd w:id="1"/>
      <w:r>
        <w:rPr>
          <w:rFonts w:ascii="Times New Roman" w:eastAsia="仿宋_GB2312" w:hAnsi="Times New Roman"/>
          <w:sz w:val="32"/>
          <w:szCs w:val="32"/>
        </w:rPr>
        <w:t>鸡球虫病。《动物性食品中兽药最高残留限量》（农业部公告第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/>
          <w:sz w:val="32"/>
          <w:szCs w:val="32"/>
        </w:rPr>
        <w:t>号）中规定，磺胺类在所有食品动物的肌肉和脂肪中的最高残留限量为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  <w:lang/>
        </w:rPr>
        <w:t>μg/kg</w:t>
      </w:r>
      <w:r>
        <w:rPr>
          <w:rFonts w:ascii="Times New Roman" w:eastAsia="仿宋_GB2312" w:hAnsi="Times New Roman"/>
          <w:sz w:val="32"/>
          <w:szCs w:val="32"/>
        </w:rPr>
        <w:t>。长期摄入磺胺类超标的动物性食品，可能导致泌尿系统和肝脏损伤等健康危害。</w:t>
      </w:r>
    </w:p>
    <w:sectPr w:rsidR="00886332" w:rsidSect="008863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32" w:rsidRDefault="00886332" w:rsidP="00886332">
      <w:pPr>
        <w:ind w:firstLine="480"/>
      </w:pPr>
      <w:r>
        <w:separator/>
      </w:r>
    </w:p>
  </w:endnote>
  <w:endnote w:type="continuationSeparator" w:id="1">
    <w:p w:rsidR="00886332" w:rsidRDefault="00886332" w:rsidP="0088633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003055"/>
    </w:sdtPr>
    <w:sdtContent>
      <w:p w:rsidR="00886332" w:rsidRDefault="00886332">
        <w:pPr>
          <w:pStyle w:val="a3"/>
          <w:jc w:val="center"/>
        </w:pPr>
        <w:r>
          <w:fldChar w:fldCharType="begin"/>
        </w:r>
        <w:r w:rsidR="00E57DC1">
          <w:instrText>PAGE   \* MERGEFORMAT</w:instrText>
        </w:r>
        <w:r>
          <w:fldChar w:fldCharType="separate"/>
        </w:r>
        <w:r w:rsidR="00E57DC1" w:rsidRPr="00E57DC1">
          <w:rPr>
            <w:noProof/>
            <w:lang w:val="zh-CN"/>
          </w:rPr>
          <w:t>1</w:t>
        </w:r>
        <w:r>
          <w:fldChar w:fldCharType="end"/>
        </w:r>
      </w:p>
    </w:sdtContent>
  </w:sdt>
  <w:p w:rsidR="00886332" w:rsidRDefault="008863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32" w:rsidRDefault="00886332" w:rsidP="00886332">
      <w:pPr>
        <w:ind w:firstLine="480"/>
      </w:pPr>
      <w:r>
        <w:separator/>
      </w:r>
    </w:p>
  </w:footnote>
  <w:footnote w:type="continuationSeparator" w:id="1">
    <w:p w:rsidR="00886332" w:rsidRDefault="00886332" w:rsidP="00886332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FFF"/>
    <w:rsid w:val="00047268"/>
    <w:rsid w:val="00153558"/>
    <w:rsid w:val="0019551F"/>
    <w:rsid w:val="00435E47"/>
    <w:rsid w:val="004C6C96"/>
    <w:rsid w:val="005341DB"/>
    <w:rsid w:val="00611371"/>
    <w:rsid w:val="00665C76"/>
    <w:rsid w:val="008845C3"/>
    <w:rsid w:val="00886332"/>
    <w:rsid w:val="00912BB8"/>
    <w:rsid w:val="009423B5"/>
    <w:rsid w:val="00AE712F"/>
    <w:rsid w:val="00B72BE0"/>
    <w:rsid w:val="00D64C50"/>
    <w:rsid w:val="00E57DC1"/>
    <w:rsid w:val="00EC5FFF"/>
    <w:rsid w:val="00FF085D"/>
    <w:rsid w:val="14513C3B"/>
    <w:rsid w:val="68A3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3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6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88633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88633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633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7D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7DC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6169521-638275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1490</Characters>
  <Application>Microsoft Office Word</Application>
  <DocSecurity>0</DocSecurity>
  <Lines>12</Lines>
  <Paragraphs>3</Paragraphs>
  <ScaleCrop>false</ScaleCrop>
  <Company>CFDA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高晗</cp:lastModifiedBy>
  <cp:revision>2</cp:revision>
  <dcterms:created xsi:type="dcterms:W3CDTF">2018-12-04T08:28:00Z</dcterms:created>
  <dcterms:modified xsi:type="dcterms:W3CDTF">2018-12-04T08:28:00Z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