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BC" w:rsidRPr="00074E9D" w:rsidRDefault="00C736BC" w:rsidP="00EE1A2B">
      <w:pPr>
        <w:widowControl/>
        <w:spacing w:line="640" w:lineRule="exact"/>
        <w:rPr>
          <w:rFonts w:ascii="黑体" w:eastAsia="黑体" w:hAnsi="黑体" w:cs="宋体"/>
          <w:kern w:val="0"/>
          <w:sz w:val="32"/>
          <w:szCs w:val="24"/>
        </w:rPr>
      </w:pPr>
      <w:r w:rsidRPr="00074E9D">
        <w:rPr>
          <w:rFonts w:ascii="黑体" w:eastAsia="黑体" w:hAnsi="黑体" w:cs="宋体" w:hint="eastAsia"/>
          <w:kern w:val="0"/>
          <w:sz w:val="32"/>
          <w:szCs w:val="24"/>
        </w:rPr>
        <w:t>附件2</w:t>
      </w:r>
    </w:p>
    <w:p w:rsidR="00C736BC" w:rsidRDefault="00C736BC" w:rsidP="00EE1A2B">
      <w:pPr>
        <w:widowControl/>
        <w:spacing w:line="640" w:lineRule="exact"/>
        <w:rPr>
          <w:rFonts w:ascii="宋体" w:hAnsi="宋体" w:cs="宋体"/>
          <w:kern w:val="0"/>
          <w:sz w:val="24"/>
          <w:szCs w:val="24"/>
        </w:rPr>
      </w:pPr>
    </w:p>
    <w:p w:rsidR="00C736BC" w:rsidRPr="00405967" w:rsidRDefault="009E3670" w:rsidP="00EE1A2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部分不合格项目的小知识</w:t>
      </w:r>
    </w:p>
    <w:p w:rsidR="009E3670" w:rsidRDefault="009E3670" w:rsidP="00EE1A2B">
      <w:pPr>
        <w:spacing w:line="640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</w:p>
    <w:p w:rsidR="00AD4008" w:rsidRPr="000E0C7D" w:rsidRDefault="00C162CA" w:rsidP="00EE1A2B">
      <w:pPr>
        <w:spacing w:line="640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  <w:r>
        <w:rPr>
          <w:rFonts w:ascii="Times New Roman" w:eastAsia="黑体" w:hAnsi="Times New Roman" w:hint="eastAsia"/>
          <w:spacing w:val="-12"/>
          <w:sz w:val="32"/>
          <w:szCs w:val="32"/>
        </w:rPr>
        <w:t>一</w:t>
      </w:r>
      <w:r w:rsidR="00AD4008" w:rsidRPr="000E0C7D">
        <w:rPr>
          <w:rFonts w:ascii="Times New Roman" w:eastAsia="黑体" w:hAnsi="Times New Roman"/>
          <w:spacing w:val="-12"/>
          <w:sz w:val="32"/>
          <w:szCs w:val="32"/>
        </w:rPr>
        <w:t>、过氧化值</w:t>
      </w:r>
    </w:p>
    <w:p w:rsidR="007D2B68" w:rsidRPr="00E1580D" w:rsidRDefault="00AD4008" w:rsidP="00E1580D">
      <w:pPr>
        <w:spacing w:line="640" w:lineRule="exact"/>
        <w:ind w:firstLineChars="200" w:firstLine="592"/>
        <w:rPr>
          <w:rFonts w:ascii="Times New Roman" w:eastAsia="仿宋_GB2312" w:hAnsi="Times New Roman"/>
          <w:spacing w:val="-12"/>
          <w:sz w:val="32"/>
          <w:szCs w:val="32"/>
        </w:rPr>
      </w:pPr>
      <w:r w:rsidRPr="00E1580D">
        <w:rPr>
          <w:rFonts w:ascii="Times New Roman" w:eastAsia="仿宋_GB2312" w:hAnsi="Times New Roman"/>
          <w:spacing w:val="-12"/>
          <w:sz w:val="32"/>
          <w:szCs w:val="32"/>
        </w:rPr>
        <w:t>过氧化值主要反映油脂是否氧化变质。随着油脂氧化，过氧化值会逐步升高，一般不会影响人体健康，但过高时可能会引起肠胃不适、腹泻等症状。《</w:t>
      </w:r>
      <w:r w:rsidR="008E6E19" w:rsidRPr="00E1580D">
        <w:rPr>
          <w:rFonts w:ascii="Times New Roman" w:eastAsia="仿宋_GB2312" w:hAnsi="Times New Roman"/>
          <w:spacing w:val="-12"/>
          <w:sz w:val="32"/>
          <w:szCs w:val="32"/>
        </w:rPr>
        <w:t>食用调和油</w:t>
      </w:r>
      <w:r w:rsidRPr="00E1580D">
        <w:rPr>
          <w:rFonts w:ascii="Times New Roman" w:eastAsia="仿宋_GB2312" w:hAnsi="Times New Roman"/>
          <w:spacing w:val="-12"/>
          <w:sz w:val="32"/>
          <w:szCs w:val="32"/>
        </w:rPr>
        <w:t>》</w:t>
      </w:r>
      <w:r w:rsidR="008E6E19" w:rsidRPr="00E1580D">
        <w:rPr>
          <w:rFonts w:ascii="Times New Roman" w:eastAsia="仿宋_GB2312" w:hAnsi="Times New Roman"/>
          <w:spacing w:val="-12"/>
          <w:sz w:val="32"/>
          <w:szCs w:val="32"/>
        </w:rPr>
        <w:t>（</w:t>
      </w:r>
      <w:r w:rsidR="008E6E19" w:rsidRPr="00E1580D">
        <w:rPr>
          <w:rFonts w:ascii="Times New Roman" w:eastAsia="仿宋_GB2312" w:hAnsi="Times New Roman"/>
          <w:spacing w:val="-12"/>
          <w:sz w:val="32"/>
          <w:szCs w:val="32"/>
        </w:rPr>
        <w:t>SB/T 10292</w:t>
      </w:r>
      <w:r w:rsidR="00F13E80" w:rsidRPr="00E1580D">
        <w:rPr>
          <w:rFonts w:ascii="Times New Roman" w:eastAsia="仿宋_GB2312" w:hAnsi="Times New Roman" w:hint="eastAsia"/>
          <w:spacing w:val="-12"/>
          <w:sz w:val="32"/>
          <w:szCs w:val="32"/>
        </w:rPr>
        <w:t>—</w:t>
      </w:r>
      <w:bookmarkStart w:id="0" w:name="_GoBack"/>
      <w:bookmarkEnd w:id="0"/>
      <w:r w:rsidR="008E6E19" w:rsidRPr="00E1580D">
        <w:rPr>
          <w:rFonts w:ascii="Times New Roman" w:eastAsia="仿宋_GB2312" w:hAnsi="Times New Roman"/>
          <w:spacing w:val="-12"/>
          <w:sz w:val="32"/>
          <w:szCs w:val="32"/>
        </w:rPr>
        <w:t>1998</w:t>
      </w:r>
      <w:r w:rsidR="008E6E19" w:rsidRPr="00E1580D">
        <w:rPr>
          <w:rFonts w:ascii="Times New Roman" w:eastAsia="仿宋_GB2312" w:hAnsi="Times New Roman"/>
          <w:spacing w:val="-12"/>
          <w:sz w:val="32"/>
          <w:szCs w:val="32"/>
        </w:rPr>
        <w:t>）中规定，调和油中过氧化值最大限量值为</w:t>
      </w:r>
      <w:r w:rsidR="008E6E19" w:rsidRPr="00E1580D">
        <w:rPr>
          <w:rFonts w:ascii="Times New Roman" w:eastAsia="仿宋_GB2312" w:hAnsi="Times New Roman"/>
          <w:spacing w:val="-12"/>
          <w:sz w:val="32"/>
          <w:szCs w:val="32"/>
        </w:rPr>
        <w:t>12meq/kg</w:t>
      </w:r>
      <w:r w:rsidR="008E6E19" w:rsidRPr="00E1580D">
        <w:rPr>
          <w:rFonts w:ascii="Times New Roman" w:eastAsia="仿宋_GB2312" w:hAnsi="Times New Roman"/>
          <w:spacing w:val="-12"/>
          <w:sz w:val="32"/>
          <w:szCs w:val="32"/>
        </w:rPr>
        <w:t>。过氧化值超标的原因，可能是原料中的脂肪已经氧化，或者是由于原料储存不当、产品在储存过程中环境条件控制不当等导致油脂酸败；此外，植物油精炼不到位也可能造成食用油、油脂及其制品的过氧化值不合格。</w:t>
      </w:r>
    </w:p>
    <w:p w:rsidR="00D369F6" w:rsidRDefault="00C162CA" w:rsidP="00EE1A2B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D369F6">
        <w:rPr>
          <w:rFonts w:ascii="黑体" w:eastAsia="黑体" w:hAnsi="黑体" w:hint="eastAsia"/>
          <w:sz w:val="32"/>
          <w:szCs w:val="32"/>
        </w:rPr>
        <w:t>、菌落总数</w:t>
      </w:r>
    </w:p>
    <w:p w:rsidR="00D369F6" w:rsidRPr="005E00D8" w:rsidRDefault="00D369F6" w:rsidP="00EE1A2B">
      <w:pPr>
        <w:spacing w:line="64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5E00D8">
        <w:rPr>
          <w:rFonts w:ascii="Times New Roman" w:eastAsia="仿宋_GB2312" w:hAnsi="Times New Roman"/>
          <w:color w:val="000000"/>
          <w:kern w:val="0"/>
          <w:sz w:val="32"/>
          <w:szCs w:val="32"/>
        </w:rPr>
        <w:t>菌落总数是指示性微生物指标，主要用来评价食品清洁度，反映食品在生产过程中是否符合卫生要求。</w:t>
      </w:r>
      <w:r w:rsidRPr="005E00D8">
        <w:rPr>
          <w:rFonts w:ascii="Times New Roman" w:eastAsia="仿宋_GB2312" w:hAnsi="Times New Roman"/>
          <w:sz w:val="32"/>
          <w:szCs w:val="32"/>
        </w:rPr>
        <w:t>《食品安全国家标准</w:t>
      </w:r>
      <w:r w:rsidR="00E1580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5E00D8">
        <w:rPr>
          <w:rFonts w:ascii="Times New Roman" w:eastAsia="仿宋_GB2312" w:hAnsi="Times New Roman"/>
          <w:sz w:val="32"/>
          <w:szCs w:val="32"/>
        </w:rPr>
        <w:t>糕点、面包》（</w:t>
      </w:r>
      <w:r w:rsidRPr="005E00D8">
        <w:rPr>
          <w:rFonts w:ascii="Times New Roman" w:eastAsia="仿宋_GB2312" w:hAnsi="Times New Roman"/>
          <w:sz w:val="32"/>
          <w:szCs w:val="32"/>
        </w:rPr>
        <w:t>GB 7099</w:t>
      </w:r>
      <w:r w:rsidR="003A408C" w:rsidRPr="003A408C">
        <w:rPr>
          <w:rFonts w:ascii="仿宋_GB2312" w:eastAsia="仿宋_GB2312" w:hAnsi="Times New Roman" w:hint="eastAsia"/>
          <w:sz w:val="32"/>
          <w:szCs w:val="32"/>
        </w:rPr>
        <w:t>—</w:t>
      </w:r>
      <w:r w:rsidRPr="005E00D8">
        <w:rPr>
          <w:rFonts w:ascii="Times New Roman" w:eastAsia="仿宋_GB2312" w:hAnsi="Times New Roman"/>
          <w:sz w:val="32"/>
          <w:szCs w:val="32"/>
        </w:rPr>
        <w:t>2015</w:t>
      </w:r>
      <w:r w:rsidRPr="005E00D8">
        <w:rPr>
          <w:rFonts w:ascii="Times New Roman" w:eastAsia="仿宋_GB2312" w:hAnsi="Times New Roman"/>
          <w:sz w:val="32"/>
          <w:szCs w:val="32"/>
        </w:rPr>
        <w:t>）中规定，糕点中的菌落总数</w:t>
      </w:r>
      <w:r w:rsidRPr="005E00D8">
        <w:rPr>
          <w:rFonts w:ascii="Times New Roman" w:eastAsia="仿宋_GB2312" w:hAnsi="Times New Roman"/>
          <w:sz w:val="32"/>
          <w:szCs w:val="32"/>
        </w:rPr>
        <w:t>5</w:t>
      </w:r>
      <w:r w:rsidRPr="005E00D8">
        <w:rPr>
          <w:rFonts w:ascii="Times New Roman" w:eastAsia="仿宋_GB2312" w:hAnsi="Times New Roman"/>
          <w:sz w:val="32"/>
          <w:szCs w:val="32"/>
        </w:rPr>
        <w:t>次检测结果均不超过</w:t>
      </w:r>
      <w:r w:rsidRPr="005E00D8">
        <w:rPr>
          <w:rFonts w:ascii="Times New Roman" w:eastAsia="仿宋_GB2312" w:hAnsi="Times New Roman"/>
          <w:sz w:val="32"/>
          <w:szCs w:val="32"/>
        </w:rPr>
        <w:t>100000CFU/g</w:t>
      </w:r>
      <w:r w:rsidRPr="005E00D8">
        <w:rPr>
          <w:rFonts w:ascii="Times New Roman" w:eastAsia="仿宋_GB2312" w:hAnsi="Times New Roman"/>
          <w:sz w:val="32"/>
          <w:szCs w:val="32"/>
        </w:rPr>
        <w:t>且至少</w:t>
      </w:r>
      <w:r w:rsidRPr="005E00D8">
        <w:rPr>
          <w:rFonts w:ascii="Times New Roman" w:eastAsia="仿宋_GB2312" w:hAnsi="Times New Roman"/>
          <w:sz w:val="32"/>
          <w:szCs w:val="32"/>
        </w:rPr>
        <w:t>3</w:t>
      </w:r>
      <w:r w:rsidRPr="005E00D8">
        <w:rPr>
          <w:rFonts w:ascii="Times New Roman" w:eastAsia="仿宋_GB2312" w:hAnsi="Times New Roman"/>
          <w:sz w:val="32"/>
          <w:szCs w:val="32"/>
        </w:rPr>
        <w:t>次检测结果不超过</w:t>
      </w:r>
      <w:r w:rsidRPr="005E00D8">
        <w:rPr>
          <w:rFonts w:ascii="Times New Roman" w:eastAsia="仿宋_GB2312" w:hAnsi="Times New Roman"/>
          <w:sz w:val="32"/>
          <w:szCs w:val="32"/>
        </w:rPr>
        <w:t>10000CFU/g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。《食品安全国家标准蜜饯》（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GB 14884</w:t>
      </w:r>
      <w:r w:rsidR="003A408C" w:rsidRPr="003A408C">
        <w:rPr>
          <w:rFonts w:ascii="仿宋_GB2312" w:eastAsia="仿宋_GB2312" w:hAnsi="Times New Roman" w:hint="eastAsia"/>
          <w:sz w:val="32"/>
          <w:szCs w:val="32"/>
        </w:rPr>
        <w:t>—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2016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）中规定，单个蜜饯样品的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5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次检测结果均不得超过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10</w:t>
      </w:r>
      <w:r w:rsidRPr="005E00D8">
        <w:rPr>
          <w:rFonts w:ascii="Times New Roman" w:eastAsia="仿宋_GB2312" w:hAnsi="Times New Roman"/>
          <w:kern w:val="0"/>
          <w:sz w:val="32"/>
          <w:szCs w:val="32"/>
          <w:vertAlign w:val="superscript"/>
        </w:rPr>
        <w:t>4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CFU/g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且至少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3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次检测结果不超过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10</w:t>
      </w:r>
      <w:r w:rsidRPr="005E00D8">
        <w:rPr>
          <w:rFonts w:ascii="Times New Roman" w:eastAsia="仿宋_GB2312" w:hAnsi="Times New Roman"/>
          <w:kern w:val="0"/>
          <w:sz w:val="32"/>
          <w:szCs w:val="32"/>
          <w:vertAlign w:val="superscript"/>
        </w:rPr>
        <w:t>3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CFU/g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。菌落总数超标</w:t>
      </w:r>
      <w:r w:rsidR="001A3300">
        <w:rPr>
          <w:rFonts w:ascii="Times New Roman" w:eastAsia="仿宋_GB2312" w:hAnsi="Times New Roman" w:hint="eastAsia"/>
          <w:kern w:val="0"/>
          <w:sz w:val="32"/>
          <w:szCs w:val="32"/>
        </w:rPr>
        <w:t>的原因，</w:t>
      </w:r>
      <w:r w:rsidRPr="005E00D8">
        <w:rPr>
          <w:rFonts w:ascii="Times New Roman" w:eastAsia="仿宋_GB2312" w:hAnsi="Times New Roman"/>
          <w:kern w:val="0"/>
          <w:sz w:val="32"/>
          <w:szCs w:val="32"/>
        </w:rPr>
        <w:t>可能是个别企业使用的原辅料初始菌数较高，未按要求严格控制生产加工过程的卫生条件，或者包装容器清洗消毒不到位，还可能与产品包装密封不严、储运条件控制不当等有关。</w:t>
      </w:r>
    </w:p>
    <w:p w:rsidR="00D369F6" w:rsidRDefault="00C162CA" w:rsidP="00EE1A2B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D369F6">
        <w:rPr>
          <w:rFonts w:ascii="黑体" w:eastAsia="黑体" w:hAnsi="黑体" w:hint="eastAsia"/>
          <w:sz w:val="32"/>
          <w:szCs w:val="32"/>
        </w:rPr>
        <w:t>、脱氢乙酸及其钠盐</w:t>
      </w:r>
      <w:r w:rsidR="005E00D8" w:rsidRPr="005E00D8">
        <w:rPr>
          <w:rFonts w:ascii="黑体" w:eastAsia="黑体" w:hAnsi="黑体" w:hint="eastAsia"/>
          <w:sz w:val="32"/>
          <w:szCs w:val="32"/>
        </w:rPr>
        <w:t>（以脱氢乙酸计）</w:t>
      </w:r>
    </w:p>
    <w:p w:rsidR="005E00D8" w:rsidRDefault="00D369F6" w:rsidP="00EE1A2B">
      <w:pPr>
        <w:spacing w:line="64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脱氢乙酸及其钠盐</w:t>
      </w:r>
      <w:r w:rsidR="00020ECA"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>一种广谱食品防腐剂，</w:t>
      </w:r>
      <w:r w:rsidR="00020ECA" w:rsidRPr="005E00D8">
        <w:rPr>
          <w:rFonts w:ascii="仿宋_GB2312" w:eastAsia="仿宋_GB2312" w:hint="eastAsia"/>
          <w:sz w:val="32"/>
          <w:szCs w:val="32"/>
        </w:rPr>
        <w:t>对霉菌、酵母和细菌有较好的抑制作用</w:t>
      </w:r>
      <w:r w:rsidRPr="00020ECA">
        <w:rPr>
          <w:rFonts w:ascii="Times New Roman" w:eastAsia="仿宋_GB2312" w:hAnsi="Times New Roman"/>
          <w:sz w:val="32"/>
          <w:szCs w:val="32"/>
        </w:rPr>
        <w:t>。《食品安全国家标准</w:t>
      </w:r>
      <w:r w:rsidRPr="00020ECA">
        <w:rPr>
          <w:rFonts w:ascii="Times New Roman" w:eastAsia="仿宋_GB2312" w:hAnsi="Times New Roman"/>
          <w:sz w:val="32"/>
          <w:szCs w:val="32"/>
        </w:rPr>
        <w:t> </w:t>
      </w:r>
      <w:r w:rsidRPr="00020ECA">
        <w:rPr>
          <w:rFonts w:ascii="Times New Roman" w:eastAsia="仿宋_GB2312" w:hAnsi="Times New Roman"/>
          <w:sz w:val="32"/>
          <w:szCs w:val="32"/>
        </w:rPr>
        <w:t>食品添加剂使用标准》（</w:t>
      </w:r>
      <w:r w:rsidRPr="00020ECA">
        <w:rPr>
          <w:rFonts w:ascii="Times New Roman" w:eastAsia="仿宋_GB2312" w:hAnsi="Times New Roman"/>
          <w:sz w:val="32"/>
          <w:szCs w:val="32"/>
        </w:rPr>
        <w:t>GB 2760</w:t>
      </w:r>
      <w:r w:rsidR="00020ECA" w:rsidRPr="00020ECA">
        <w:rPr>
          <w:rFonts w:ascii="仿宋_GB2312" w:eastAsia="仿宋_GB2312" w:hAnsi="Times New Roman" w:hint="eastAsia"/>
          <w:sz w:val="32"/>
          <w:szCs w:val="32"/>
        </w:rPr>
        <w:t>—</w:t>
      </w:r>
      <w:r w:rsidRPr="00020ECA">
        <w:rPr>
          <w:rFonts w:ascii="Times New Roman" w:eastAsia="仿宋_GB2312" w:hAnsi="Times New Roman"/>
          <w:sz w:val="32"/>
          <w:szCs w:val="32"/>
        </w:rPr>
        <w:t>2014</w:t>
      </w:r>
      <w:r w:rsidRPr="00020ECA">
        <w:rPr>
          <w:rFonts w:ascii="Times New Roman" w:eastAsia="仿宋_GB2312" w:hAnsi="Times New Roman"/>
          <w:sz w:val="32"/>
          <w:szCs w:val="32"/>
        </w:rPr>
        <w:t>）中规定</w:t>
      </w:r>
      <w:r w:rsidR="005E00D8" w:rsidRPr="00020ECA">
        <w:rPr>
          <w:rFonts w:ascii="Times New Roman" w:eastAsia="仿宋_GB2312" w:hAnsi="Times New Roman"/>
          <w:sz w:val="32"/>
          <w:szCs w:val="32"/>
        </w:rPr>
        <w:t>，</w:t>
      </w:r>
      <w:r w:rsidRPr="00020ECA">
        <w:rPr>
          <w:rFonts w:ascii="Times New Roman" w:eastAsia="仿宋_GB2312" w:hAnsi="Times New Roman"/>
          <w:sz w:val="32"/>
          <w:szCs w:val="32"/>
        </w:rPr>
        <w:t>糕点中脱氢乙酸及其钠盐</w:t>
      </w:r>
      <w:r w:rsidR="005E00D8" w:rsidRPr="00020ECA">
        <w:rPr>
          <w:rFonts w:ascii="Times New Roman" w:eastAsia="仿宋_GB2312" w:hAnsi="Times New Roman"/>
          <w:sz w:val="32"/>
          <w:szCs w:val="32"/>
        </w:rPr>
        <w:t>（</w:t>
      </w:r>
      <w:r w:rsidRPr="00020ECA">
        <w:rPr>
          <w:rFonts w:ascii="Times New Roman" w:eastAsia="仿宋_GB2312" w:hAnsi="Times New Roman"/>
          <w:sz w:val="32"/>
          <w:szCs w:val="32"/>
        </w:rPr>
        <w:t>以脱氢乙酸计</w:t>
      </w:r>
      <w:r w:rsidR="005E00D8" w:rsidRPr="00020ECA">
        <w:rPr>
          <w:rFonts w:ascii="Times New Roman" w:eastAsia="仿宋_GB2312" w:hAnsi="Times New Roman"/>
          <w:sz w:val="32"/>
          <w:szCs w:val="32"/>
        </w:rPr>
        <w:t>）的最大使用量为</w:t>
      </w:r>
      <w:r w:rsidRPr="00020ECA">
        <w:rPr>
          <w:rFonts w:ascii="Times New Roman" w:eastAsia="仿宋_GB2312" w:hAnsi="Times New Roman"/>
          <w:sz w:val="32"/>
          <w:szCs w:val="32"/>
        </w:rPr>
        <w:t>0.5g/kg</w:t>
      </w:r>
      <w:r w:rsidR="005E00D8" w:rsidRPr="00020ECA">
        <w:rPr>
          <w:rFonts w:ascii="Times New Roman" w:eastAsia="仿宋_GB2312" w:hAnsi="Times New Roman"/>
          <w:sz w:val="32"/>
          <w:szCs w:val="32"/>
        </w:rPr>
        <w:t>；发酵豆制品中</w:t>
      </w:r>
      <w:r w:rsidR="00020ECA" w:rsidRPr="00020ECA">
        <w:rPr>
          <w:rFonts w:ascii="Times New Roman" w:eastAsia="仿宋_GB2312" w:hAnsi="Times New Roman"/>
          <w:sz w:val="32"/>
          <w:szCs w:val="32"/>
        </w:rPr>
        <w:t>脱氢乙酸及其钠盐（以脱氢乙酸计）</w:t>
      </w:r>
      <w:r w:rsidR="005E00D8" w:rsidRPr="00020ECA">
        <w:rPr>
          <w:rFonts w:ascii="Times New Roman" w:eastAsia="仿宋_GB2312" w:hAnsi="Times New Roman"/>
          <w:sz w:val="32"/>
          <w:szCs w:val="32"/>
        </w:rPr>
        <w:t>的最大使用量为</w:t>
      </w:r>
      <w:r w:rsidR="005E00D8" w:rsidRPr="00020ECA">
        <w:rPr>
          <w:rFonts w:ascii="Times New Roman" w:eastAsia="仿宋_GB2312" w:hAnsi="Times New Roman"/>
          <w:sz w:val="32"/>
          <w:szCs w:val="32"/>
        </w:rPr>
        <w:t>0.3g/kg</w:t>
      </w:r>
      <w:r w:rsidR="005E00D8" w:rsidRPr="00020ECA">
        <w:rPr>
          <w:rFonts w:ascii="Times New Roman" w:eastAsia="仿宋_GB2312" w:hAnsi="Times New Roman"/>
          <w:sz w:val="32"/>
          <w:szCs w:val="32"/>
        </w:rPr>
        <w:t>，其余类型的豆制品均不得使用。</w:t>
      </w:r>
      <w:r w:rsidRPr="00020ECA">
        <w:rPr>
          <w:rFonts w:ascii="Times New Roman" w:eastAsia="仿宋_GB2312" w:hAnsi="Times New Roman"/>
          <w:sz w:val="32"/>
          <w:szCs w:val="32"/>
        </w:rPr>
        <w:t>造成</w:t>
      </w:r>
      <w:r w:rsidR="00020ECA" w:rsidRPr="00020ECA">
        <w:rPr>
          <w:rFonts w:ascii="Times New Roman" w:eastAsia="仿宋_GB2312" w:hAnsi="Times New Roman"/>
          <w:sz w:val="32"/>
          <w:szCs w:val="32"/>
        </w:rPr>
        <w:t>脱氢乙酸及其钠盐（以脱氢乙酸计）</w:t>
      </w:r>
      <w:r w:rsidRPr="00020ECA">
        <w:rPr>
          <w:rFonts w:ascii="Times New Roman" w:eastAsia="仿宋_GB2312" w:hAnsi="Times New Roman"/>
          <w:sz w:val="32"/>
          <w:szCs w:val="32"/>
        </w:rPr>
        <w:t>超标的原因</w:t>
      </w:r>
      <w:r w:rsidR="00E1580D" w:rsidRPr="00020ECA">
        <w:rPr>
          <w:rFonts w:ascii="Times New Roman" w:eastAsia="仿宋_GB2312" w:hAnsi="Times New Roman"/>
          <w:sz w:val="32"/>
          <w:szCs w:val="32"/>
        </w:rPr>
        <w:t>可能是</w:t>
      </w:r>
      <w:r w:rsidR="003228B5">
        <w:rPr>
          <w:rFonts w:ascii="Times New Roman" w:eastAsia="仿宋_GB2312" w:hAnsi="Times New Roman" w:hint="eastAsia"/>
          <w:sz w:val="32"/>
          <w:szCs w:val="32"/>
        </w:rPr>
        <w:t>：</w:t>
      </w:r>
      <w:r w:rsidR="00020ECA" w:rsidRPr="00020ECA">
        <w:rPr>
          <w:rFonts w:ascii="Times New Roman" w:eastAsia="仿宋_GB2312" w:hAnsi="Times New Roman"/>
          <w:sz w:val="32"/>
          <w:szCs w:val="32"/>
        </w:rPr>
        <w:t>企业为增加产品保质期，</w:t>
      </w:r>
      <w:r w:rsidR="00020ECA" w:rsidRPr="005E00D8">
        <w:rPr>
          <w:rFonts w:ascii="仿宋_GB2312" w:eastAsia="仿宋_GB2312" w:hint="eastAsia"/>
          <w:sz w:val="32"/>
          <w:szCs w:val="32"/>
        </w:rPr>
        <w:t>或者弥补产品生产过程卫生条件不佳而超范围使用</w:t>
      </w:r>
      <w:r w:rsidR="00020ECA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或其使用的复配添加剂中该添加剂含量较高；</w:t>
      </w:r>
      <w:r w:rsidR="00020ECA"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 w:hint="eastAsia"/>
          <w:sz w:val="32"/>
          <w:szCs w:val="32"/>
        </w:rPr>
        <w:t>在添加过程中未计量或计量不准确</w:t>
      </w:r>
      <w:r w:rsidR="00020ECA">
        <w:rPr>
          <w:rFonts w:ascii="仿宋_GB2312" w:eastAsia="仿宋_GB2312" w:hint="eastAsia"/>
          <w:sz w:val="32"/>
          <w:szCs w:val="32"/>
        </w:rPr>
        <w:t>造成的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369F6" w:rsidRDefault="00C162CA" w:rsidP="00EE1A2B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D369F6">
        <w:rPr>
          <w:rFonts w:ascii="黑体" w:eastAsia="黑体" w:hAnsi="黑体" w:hint="eastAsia"/>
          <w:sz w:val="32"/>
          <w:szCs w:val="32"/>
        </w:rPr>
        <w:t>、防腐剂各自用量占其最大使用量比例之和</w:t>
      </w:r>
    </w:p>
    <w:p w:rsidR="00D369F6" w:rsidRDefault="00D369F6" w:rsidP="00EE1A2B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防腐剂</w:t>
      </w:r>
      <w:r w:rsidRPr="003A408C">
        <w:rPr>
          <w:rFonts w:ascii="Times New Roman" w:eastAsia="仿宋_GB2312" w:hAnsi="Times New Roman"/>
          <w:sz w:val="32"/>
          <w:szCs w:val="32"/>
        </w:rPr>
        <w:t>是指天然或合成的化学成分，用于加入食品以延迟微生物生长或化学变化引起的腐败。国家标准《食品安全国家标准</w:t>
      </w:r>
      <w:r w:rsidR="00E1580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3A408C">
        <w:rPr>
          <w:rFonts w:ascii="Times New Roman" w:eastAsia="仿宋_GB2312" w:hAnsi="Times New Roman"/>
          <w:sz w:val="32"/>
          <w:szCs w:val="32"/>
        </w:rPr>
        <w:t>食品添加剂使用标准》（</w:t>
      </w:r>
      <w:r w:rsidRPr="003A408C">
        <w:rPr>
          <w:rFonts w:ascii="Times New Roman" w:eastAsia="仿宋_GB2312" w:hAnsi="Times New Roman"/>
          <w:sz w:val="32"/>
          <w:szCs w:val="32"/>
        </w:rPr>
        <w:t>GB 2760</w:t>
      </w:r>
      <w:r w:rsidR="003A408C" w:rsidRPr="003A408C">
        <w:rPr>
          <w:rFonts w:ascii="仿宋_GB2312" w:eastAsia="仿宋_GB2312" w:hAnsi="Times New Roman" w:hint="eastAsia"/>
          <w:sz w:val="32"/>
          <w:szCs w:val="32"/>
        </w:rPr>
        <w:t>—</w:t>
      </w:r>
      <w:r w:rsidRPr="003A408C">
        <w:rPr>
          <w:rFonts w:ascii="Times New Roman" w:eastAsia="仿宋_GB2312" w:hAnsi="Times New Roman"/>
          <w:sz w:val="32"/>
          <w:szCs w:val="32"/>
        </w:rPr>
        <w:t>2014</w:t>
      </w:r>
      <w:r w:rsidRPr="003A408C">
        <w:rPr>
          <w:rFonts w:ascii="Times New Roman" w:eastAsia="仿宋_GB2312" w:hAnsi="Times New Roman"/>
          <w:sz w:val="32"/>
          <w:szCs w:val="32"/>
        </w:rPr>
        <w:t>）中规定</w:t>
      </w:r>
      <w:r w:rsidR="003A408C" w:rsidRPr="003A408C">
        <w:rPr>
          <w:rFonts w:ascii="Times New Roman" w:eastAsia="仿宋_GB2312" w:hAnsi="Times New Roman"/>
          <w:sz w:val="32"/>
          <w:szCs w:val="32"/>
        </w:rPr>
        <w:t>，</w:t>
      </w:r>
      <w:r w:rsidRPr="003A408C">
        <w:rPr>
          <w:rFonts w:ascii="Times New Roman" w:eastAsia="仿宋_GB2312" w:hAnsi="Times New Roman"/>
          <w:sz w:val="32"/>
          <w:szCs w:val="32"/>
        </w:rPr>
        <w:t>防腐剂在混合使用时</w:t>
      </w:r>
      <w:r w:rsidR="00DE18AE">
        <w:rPr>
          <w:rFonts w:ascii="Times New Roman" w:eastAsia="仿宋_GB2312" w:hAnsi="Times New Roman" w:hint="eastAsia"/>
          <w:sz w:val="32"/>
          <w:szCs w:val="32"/>
        </w:rPr>
        <w:t>，</w:t>
      </w:r>
      <w:r w:rsidRPr="003A408C">
        <w:rPr>
          <w:rFonts w:ascii="Times New Roman" w:eastAsia="仿宋_GB2312" w:hAnsi="Times New Roman"/>
          <w:sz w:val="32"/>
          <w:szCs w:val="32"/>
        </w:rPr>
        <w:t>各自用量占其最大使用量的比例之和不应超过</w:t>
      </w:r>
      <w:r w:rsidRPr="003A408C">
        <w:rPr>
          <w:rFonts w:ascii="Times New Roman" w:eastAsia="仿宋_GB2312" w:hAnsi="Times New Roman"/>
          <w:sz w:val="32"/>
          <w:szCs w:val="32"/>
        </w:rPr>
        <w:t xml:space="preserve"> 1</w:t>
      </w:r>
      <w:r w:rsidRPr="003A408C">
        <w:rPr>
          <w:rFonts w:ascii="Times New Roman" w:eastAsia="仿宋_GB2312" w:hAnsi="Times New Roman"/>
          <w:sz w:val="32"/>
          <w:szCs w:val="32"/>
        </w:rPr>
        <w:t>。糕点中防腐剂各自用量占其最大使用量比例之和超标</w:t>
      </w:r>
      <w:r w:rsidR="001A3300">
        <w:rPr>
          <w:rFonts w:ascii="Times New Roman" w:eastAsia="仿宋_GB2312" w:hAnsi="Times New Roman" w:hint="eastAsia"/>
          <w:sz w:val="32"/>
          <w:szCs w:val="32"/>
        </w:rPr>
        <w:t>的原因，</w:t>
      </w:r>
      <w:r w:rsidRPr="003A408C">
        <w:rPr>
          <w:rFonts w:ascii="Times New Roman" w:eastAsia="仿宋_GB2312" w:hAnsi="Times New Roman"/>
          <w:sz w:val="32"/>
          <w:szCs w:val="32"/>
        </w:rPr>
        <w:t>可能是企业在生产加工</w:t>
      </w:r>
      <w:r>
        <w:rPr>
          <w:rFonts w:ascii="仿宋_GB2312" w:eastAsia="仿宋_GB2312" w:hint="eastAsia"/>
          <w:sz w:val="32"/>
          <w:szCs w:val="32"/>
        </w:rPr>
        <w:t>过程中未严格控制各防腐剂的用量造成的。防腐剂使用不当会有一定副效应，长期过量摄入</w:t>
      </w:r>
      <w:r w:rsidR="00DE18AE">
        <w:rPr>
          <w:rFonts w:ascii="仿宋_GB2312" w:eastAsia="仿宋_GB2312" w:hint="eastAsia"/>
          <w:sz w:val="32"/>
          <w:szCs w:val="32"/>
        </w:rPr>
        <w:t>可能</w:t>
      </w:r>
      <w:r>
        <w:rPr>
          <w:rFonts w:ascii="仿宋_GB2312" w:eastAsia="仿宋_GB2312" w:hint="eastAsia"/>
          <w:sz w:val="32"/>
          <w:szCs w:val="32"/>
        </w:rPr>
        <w:t>会对消费者的身体</w:t>
      </w:r>
      <w:r w:rsidRPr="003A408C">
        <w:rPr>
          <w:rFonts w:ascii="仿宋_GB2312" w:eastAsia="仿宋_GB2312" w:hint="eastAsia"/>
          <w:sz w:val="32"/>
          <w:szCs w:val="32"/>
        </w:rPr>
        <w:t>健康</w:t>
      </w:r>
      <w:r>
        <w:rPr>
          <w:rFonts w:ascii="仿宋_GB2312" w:eastAsia="仿宋_GB2312" w:hint="eastAsia"/>
          <w:sz w:val="32"/>
          <w:szCs w:val="32"/>
        </w:rPr>
        <w:t>造成一定损害。</w:t>
      </w:r>
    </w:p>
    <w:p w:rsidR="00D369F6" w:rsidRPr="00D369F6" w:rsidRDefault="00C162CA" w:rsidP="00EE1A2B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D369F6" w:rsidRPr="00D369F6">
        <w:rPr>
          <w:rFonts w:ascii="黑体" w:eastAsia="黑体" w:hAnsi="黑体" w:hint="eastAsia"/>
          <w:sz w:val="32"/>
          <w:szCs w:val="32"/>
        </w:rPr>
        <w:t>、二氧化硫残留量</w:t>
      </w:r>
    </w:p>
    <w:p w:rsidR="00D369F6" w:rsidRPr="0018713C" w:rsidRDefault="001A5435" w:rsidP="00EE1A2B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AA49EB">
        <w:rPr>
          <w:rFonts w:ascii="Times New Roman" w:eastAsia="仿宋_GB2312" w:hAnsi="Times New Roman"/>
          <w:sz w:val="32"/>
          <w:szCs w:val="32"/>
        </w:rPr>
        <w:t>二氧化硫（以及焦亚硫酸钾、亚硫酸钠等添加剂）</w:t>
      </w:r>
      <w:r w:rsidR="00F558F5" w:rsidRPr="00F558F5">
        <w:rPr>
          <w:rFonts w:ascii="Times New Roman" w:eastAsia="仿宋_GB2312" w:hAnsi="Times New Roman" w:hint="eastAsia"/>
          <w:sz w:val="32"/>
          <w:szCs w:val="32"/>
        </w:rPr>
        <w:t>是食品加工中常用的漂白剂和防腐剂</w:t>
      </w:r>
      <w:r w:rsidRPr="00AA49EB">
        <w:rPr>
          <w:rFonts w:ascii="Times New Roman" w:eastAsia="仿宋_GB2312" w:hAnsi="Times New Roman"/>
          <w:sz w:val="32"/>
          <w:szCs w:val="32"/>
        </w:rPr>
        <w:t>，使用后均产生二氧化硫残留。摄入少量二氧化硫，可在人体内经酶转化后由尿液排出体外，一般不会对人体健康造成不良影响，但如果长期过量摄入二氧化硫，可能会对健康不利。</w:t>
      </w:r>
      <w:r w:rsidR="0018713C" w:rsidRPr="0018713C">
        <w:rPr>
          <w:rFonts w:ascii="仿宋_GB2312" w:eastAsia="仿宋_GB2312" w:hint="eastAsia"/>
          <w:sz w:val="32"/>
          <w:szCs w:val="32"/>
        </w:rPr>
        <w:t>《食品安全国家标准 食品添加剂使用标准》</w:t>
      </w:r>
      <w:r w:rsidR="0018713C" w:rsidRPr="0018713C">
        <w:rPr>
          <w:rFonts w:ascii="Times New Roman" w:eastAsia="仿宋_GB2312" w:hAnsi="Times New Roman"/>
          <w:sz w:val="32"/>
          <w:szCs w:val="32"/>
        </w:rPr>
        <w:t>（</w:t>
      </w:r>
      <w:r w:rsidR="0018713C" w:rsidRPr="0018713C">
        <w:rPr>
          <w:rFonts w:ascii="Times New Roman" w:eastAsia="仿宋_GB2312" w:hAnsi="Times New Roman"/>
          <w:sz w:val="32"/>
          <w:szCs w:val="32"/>
        </w:rPr>
        <w:t>GB 2760</w:t>
      </w:r>
      <w:r w:rsidR="0018713C" w:rsidRPr="0018713C">
        <w:rPr>
          <w:rFonts w:ascii="仿宋_GB2312" w:eastAsia="仿宋_GB2312" w:hAnsi="Times New Roman" w:hint="eastAsia"/>
          <w:sz w:val="32"/>
          <w:szCs w:val="32"/>
        </w:rPr>
        <w:t>—</w:t>
      </w:r>
      <w:r w:rsidR="0018713C" w:rsidRPr="0018713C">
        <w:rPr>
          <w:rFonts w:ascii="Times New Roman" w:eastAsia="仿宋_GB2312" w:hAnsi="Times New Roman"/>
          <w:sz w:val="32"/>
          <w:szCs w:val="32"/>
        </w:rPr>
        <w:t>2014</w:t>
      </w:r>
      <w:r w:rsidR="0018713C" w:rsidRPr="0018713C">
        <w:rPr>
          <w:rFonts w:ascii="Times New Roman" w:eastAsia="仿宋_GB2312" w:hAnsi="Times New Roman"/>
          <w:sz w:val="32"/>
          <w:szCs w:val="32"/>
        </w:rPr>
        <w:t>）中规定，半固体复合调味料中二氧化硫的最大</w:t>
      </w:r>
      <w:r>
        <w:rPr>
          <w:rFonts w:ascii="Times New Roman" w:eastAsia="仿宋_GB2312" w:hAnsi="Times New Roman" w:hint="eastAsia"/>
          <w:sz w:val="32"/>
          <w:szCs w:val="32"/>
        </w:rPr>
        <w:t>使用</w:t>
      </w:r>
      <w:r w:rsidR="0018713C" w:rsidRPr="0018713C">
        <w:rPr>
          <w:rFonts w:ascii="Times New Roman" w:eastAsia="仿宋_GB2312" w:hAnsi="Times New Roman"/>
          <w:sz w:val="32"/>
          <w:szCs w:val="32"/>
        </w:rPr>
        <w:t>量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1A5435">
        <w:rPr>
          <w:rFonts w:ascii="Times New Roman" w:eastAsia="仿宋_GB2312" w:hAnsi="Times New Roman" w:hint="eastAsia"/>
          <w:sz w:val="32"/>
          <w:szCs w:val="32"/>
        </w:rPr>
        <w:t>以二氧化硫残留量计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18713C" w:rsidRPr="0018713C">
        <w:rPr>
          <w:rFonts w:ascii="Times New Roman" w:eastAsia="仿宋_GB2312" w:hAnsi="Times New Roman"/>
          <w:sz w:val="32"/>
          <w:szCs w:val="32"/>
        </w:rPr>
        <w:t>为</w:t>
      </w:r>
      <w:r w:rsidR="0018713C" w:rsidRPr="0018713C">
        <w:rPr>
          <w:rFonts w:ascii="Times New Roman" w:eastAsia="仿宋_GB2312" w:hAnsi="Times New Roman"/>
          <w:sz w:val="32"/>
          <w:szCs w:val="32"/>
        </w:rPr>
        <w:t>0.05g/kg</w:t>
      </w:r>
      <w:r w:rsidR="0018713C" w:rsidRPr="0018713C">
        <w:rPr>
          <w:rFonts w:ascii="Times New Roman" w:eastAsia="仿宋_GB2312" w:hAnsi="Times New Roman"/>
          <w:sz w:val="32"/>
          <w:szCs w:val="32"/>
        </w:rPr>
        <w:t>。二氧化硫</w:t>
      </w:r>
      <w:r w:rsidR="00F558F5">
        <w:rPr>
          <w:rFonts w:ascii="Times New Roman" w:eastAsia="仿宋_GB2312" w:hAnsi="Times New Roman" w:hint="eastAsia"/>
          <w:sz w:val="32"/>
          <w:szCs w:val="32"/>
        </w:rPr>
        <w:t>残留量</w:t>
      </w:r>
      <w:r w:rsidR="003228B5">
        <w:rPr>
          <w:rFonts w:ascii="Times New Roman" w:eastAsia="仿宋_GB2312" w:hAnsi="Times New Roman"/>
          <w:sz w:val="32"/>
          <w:szCs w:val="32"/>
        </w:rPr>
        <w:t>超标的原因</w:t>
      </w:r>
      <w:r w:rsidR="003228B5">
        <w:rPr>
          <w:rFonts w:ascii="Times New Roman" w:eastAsia="仿宋_GB2312" w:hAnsi="Times New Roman" w:hint="eastAsia"/>
          <w:sz w:val="32"/>
          <w:szCs w:val="32"/>
        </w:rPr>
        <w:t>：</w:t>
      </w:r>
      <w:r w:rsidR="00F558F5" w:rsidRPr="00F558F5">
        <w:rPr>
          <w:rFonts w:ascii="Times New Roman" w:eastAsia="仿宋_GB2312" w:hAnsi="Times New Roman" w:hint="eastAsia"/>
          <w:sz w:val="32"/>
          <w:szCs w:val="32"/>
        </w:rPr>
        <w:t>可能是生产厂家为</w:t>
      </w:r>
      <w:r w:rsidR="00E1580D">
        <w:rPr>
          <w:rFonts w:ascii="Times New Roman" w:eastAsia="仿宋_GB2312" w:hAnsi="Times New Roman" w:hint="eastAsia"/>
          <w:sz w:val="32"/>
          <w:szCs w:val="32"/>
        </w:rPr>
        <w:t>延长</w:t>
      </w:r>
      <w:r w:rsidR="00F558F5" w:rsidRPr="00F558F5">
        <w:rPr>
          <w:rFonts w:ascii="Times New Roman" w:eastAsia="仿宋_GB2312" w:hAnsi="Times New Roman" w:hint="eastAsia"/>
          <w:sz w:val="32"/>
          <w:szCs w:val="32"/>
        </w:rPr>
        <w:t>产品保质期而超限量使用；</w:t>
      </w:r>
      <w:r w:rsidR="00E1580D">
        <w:rPr>
          <w:rFonts w:ascii="Times New Roman" w:eastAsia="仿宋_GB2312" w:hAnsi="Times New Roman" w:hint="eastAsia"/>
          <w:sz w:val="32"/>
          <w:szCs w:val="32"/>
        </w:rPr>
        <w:t>也</w:t>
      </w:r>
      <w:r w:rsidR="00F558F5" w:rsidRPr="00F558F5">
        <w:rPr>
          <w:rFonts w:ascii="Times New Roman" w:eastAsia="仿宋_GB2312" w:hAnsi="Times New Roman" w:hint="eastAsia"/>
          <w:sz w:val="32"/>
          <w:szCs w:val="32"/>
        </w:rPr>
        <w:t>可能是添加过程中计量不准确或搅拌不均匀造成；还有可能是复合调味料原材料的二氧化硫残留带入叠加造成。</w:t>
      </w:r>
    </w:p>
    <w:p w:rsidR="00D369F6" w:rsidRPr="0018713C" w:rsidRDefault="00C162CA" w:rsidP="00EE1A2B">
      <w:pPr>
        <w:spacing w:line="640" w:lineRule="exact"/>
        <w:ind w:left="640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3A408C">
        <w:rPr>
          <w:rFonts w:ascii="黑体" w:eastAsia="黑体" w:hAnsi="黑体" w:hint="eastAsia"/>
          <w:sz w:val="32"/>
          <w:szCs w:val="32"/>
        </w:rPr>
        <w:t>、</w:t>
      </w:r>
      <w:r w:rsidR="003A408C" w:rsidRPr="003A408C">
        <w:rPr>
          <w:rFonts w:ascii="黑体" w:eastAsia="黑体" w:hAnsi="黑体" w:hint="eastAsia"/>
          <w:sz w:val="32"/>
          <w:szCs w:val="32"/>
        </w:rPr>
        <w:t>铝的残留量（干样品，以</w:t>
      </w:r>
      <w:r w:rsidR="003A408C" w:rsidRPr="0018713C">
        <w:rPr>
          <w:rFonts w:ascii="Times New Roman" w:eastAsia="黑体" w:hAnsi="Times New Roman"/>
          <w:sz w:val="32"/>
          <w:szCs w:val="32"/>
        </w:rPr>
        <w:t>Al</w:t>
      </w:r>
      <w:r w:rsidR="003A408C" w:rsidRPr="0018713C">
        <w:rPr>
          <w:rFonts w:ascii="Times New Roman" w:eastAsia="黑体" w:hAnsi="Times New Roman"/>
          <w:sz w:val="32"/>
          <w:szCs w:val="32"/>
        </w:rPr>
        <w:t>计）</w:t>
      </w:r>
    </w:p>
    <w:p w:rsidR="003A408C" w:rsidRDefault="003A408C" w:rsidP="00EE1A2B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含铝食品添加剂可用作膨松剂、稳定剂、抗结剂和染色料等，很多国家如美国、欧盟成员国、澳洲、新西兰、日本和我国等都允许使用含铝食品添加剂。《食品安全国家标准食品添加剂使用标准》（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）中规定，硫酸铝钾、硫酸铝铵作为膨松剂、稳定剂可应用于</w:t>
      </w:r>
      <w:r>
        <w:rPr>
          <w:rFonts w:eastAsia="仿宋" w:hAnsi="仿宋" w:hint="eastAsia"/>
          <w:sz w:val="32"/>
          <w:szCs w:val="32"/>
        </w:rPr>
        <w:t>豆类制品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1702B0">
        <w:rPr>
          <w:rFonts w:ascii="Times New Roman" w:eastAsia="仿宋_GB2312" w:hAnsi="Times New Roman" w:hint="eastAsia"/>
          <w:sz w:val="32"/>
          <w:szCs w:val="32"/>
        </w:rPr>
        <w:t>其</w:t>
      </w:r>
      <w:r>
        <w:rPr>
          <w:rFonts w:ascii="Times New Roman" w:eastAsia="仿宋_GB2312" w:hAnsi="Times New Roman" w:hint="eastAsia"/>
          <w:sz w:val="32"/>
          <w:szCs w:val="32"/>
        </w:rPr>
        <w:t>添加量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按生产需要适量添加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1702B0">
        <w:rPr>
          <w:rFonts w:ascii="Times New Roman" w:eastAsia="仿宋_GB2312" w:hAnsi="Times New Roman" w:hint="eastAsia"/>
          <w:sz w:val="32"/>
          <w:szCs w:val="32"/>
        </w:rPr>
        <w:t>而在</w:t>
      </w:r>
      <w:r w:rsidR="001702B0" w:rsidRPr="001702B0">
        <w:rPr>
          <w:rFonts w:ascii="Times New Roman" w:eastAsia="仿宋_GB2312" w:hAnsi="Times New Roman" w:hint="eastAsia"/>
          <w:sz w:val="32"/>
          <w:szCs w:val="32"/>
        </w:rPr>
        <w:t>终产品（干样品）中的</w:t>
      </w:r>
      <w:r>
        <w:rPr>
          <w:rFonts w:ascii="Times New Roman" w:eastAsia="仿宋_GB2312" w:hAnsi="Times New Roman" w:hint="eastAsia"/>
          <w:sz w:val="32"/>
          <w:szCs w:val="32"/>
        </w:rPr>
        <w:t>铝残留</w:t>
      </w:r>
      <w:r w:rsidR="001702B0">
        <w:rPr>
          <w:rFonts w:ascii="Times New Roman" w:eastAsia="仿宋_GB2312" w:hAnsi="Times New Roman" w:hint="eastAsia"/>
          <w:sz w:val="32"/>
          <w:szCs w:val="32"/>
        </w:rPr>
        <w:t>最大</w:t>
      </w:r>
      <w:r>
        <w:rPr>
          <w:rFonts w:ascii="Times New Roman" w:eastAsia="仿宋_GB2312" w:hAnsi="Times New Roman" w:hint="eastAsia"/>
          <w:sz w:val="32"/>
          <w:szCs w:val="32"/>
        </w:rPr>
        <w:t>限量不得超过</w:t>
      </w:r>
      <w:r>
        <w:rPr>
          <w:rFonts w:ascii="Times New Roman" w:eastAsia="仿宋_GB2312" w:hAnsi="Times New Roman"/>
          <w:sz w:val="32"/>
          <w:szCs w:val="32"/>
        </w:rPr>
        <w:t>100mg/kg</w:t>
      </w:r>
      <w:r>
        <w:rPr>
          <w:rFonts w:ascii="Times New Roman" w:eastAsia="仿宋_GB2312" w:hAnsi="Times New Roman" w:hint="eastAsia"/>
          <w:sz w:val="32"/>
          <w:szCs w:val="32"/>
        </w:rPr>
        <w:t>。铝残留量超标的原因</w:t>
      </w:r>
      <w:r w:rsidR="00E1580D">
        <w:rPr>
          <w:rFonts w:ascii="Times New Roman" w:eastAsia="仿宋_GB2312" w:hAnsi="Times New Roman" w:hint="eastAsia"/>
          <w:sz w:val="32"/>
          <w:szCs w:val="32"/>
        </w:rPr>
        <w:t>可能是</w:t>
      </w:r>
      <w:r w:rsidR="001A3300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个别企业为改善产品口感，在生产加工过程中超限量、超范围使用含铝添加剂，或者其使用的复配添加剂中铝含量过高。</w:t>
      </w:r>
    </w:p>
    <w:p w:rsidR="0065506D" w:rsidRPr="001A3300" w:rsidRDefault="0065506D" w:rsidP="0065506D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</w:t>
      </w:r>
      <w:r w:rsidRPr="001A3300">
        <w:rPr>
          <w:rFonts w:eastAsia="黑体" w:hint="eastAsia"/>
          <w:sz w:val="32"/>
          <w:szCs w:val="32"/>
        </w:rPr>
        <w:t>、氟苯尼考</w:t>
      </w:r>
    </w:p>
    <w:p w:rsidR="0065506D" w:rsidRDefault="0065506D" w:rsidP="0065506D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氟苯尼考又称氟甲砜霉素，是农业部批准使用的动物专用抗菌药，主要用于敏感细菌所致的猪、鸡、鱼的细菌性疾病。《动物性食品中兽药最高残留限量》（农业部公告第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号）中规定，氟苯尼考在产蛋鸡中禁用（鸡蛋中不得检出）。正常情况下消费者不必对鸡蛋中检出氟苯尼考过分担心，但长期食用氟苯尼考残留超标的食品，对人体健康有一定影响。</w:t>
      </w:r>
    </w:p>
    <w:p w:rsidR="0065506D" w:rsidRPr="001A3300" w:rsidRDefault="0065506D" w:rsidP="0065506D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八</w:t>
      </w:r>
      <w:r w:rsidRPr="001A3300">
        <w:rPr>
          <w:rFonts w:eastAsia="黑体" w:hint="eastAsia"/>
          <w:sz w:val="32"/>
          <w:szCs w:val="32"/>
        </w:rPr>
        <w:t>、氯氰菊酯和高效氯氰菊酯</w:t>
      </w:r>
    </w:p>
    <w:p w:rsidR="0065506D" w:rsidRPr="0065506D" w:rsidRDefault="0065506D" w:rsidP="0065506D">
      <w:pPr>
        <w:spacing w:line="64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氯氰菊酯和高效氯氰菊酯是一种拟除虫菊酯类杀虫剂，具有广谱、高效、快速的作用特点，对害虫以触杀和胃毒为主。</w:t>
      </w:r>
      <w:r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E1580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</w:t>
      </w:r>
      <w:r>
        <w:rPr>
          <w:rFonts w:ascii="仿宋_GB2312" w:eastAsia="仿宋_GB2312" w:hint="eastAsia"/>
          <w:sz w:val="32"/>
          <w:szCs w:val="32"/>
        </w:rPr>
        <w:t>氯氰菊酯和高效氯氰菊酯</w:t>
      </w:r>
      <w:r>
        <w:rPr>
          <w:rFonts w:ascii="Times New Roman" w:eastAsia="仿宋_GB2312" w:hAnsi="Times New Roman" w:hint="eastAsia"/>
          <w:sz w:val="32"/>
          <w:szCs w:val="32"/>
        </w:rPr>
        <w:t>在韭菜中的最大残留限量为</w:t>
      </w:r>
      <w:r>
        <w:rPr>
          <w:rFonts w:ascii="Times New Roman" w:eastAsia="仿宋_GB2312" w:hAnsi="Times New Roman"/>
          <w:sz w:val="32"/>
          <w:szCs w:val="32"/>
        </w:rPr>
        <w:t>1mg/kg</w:t>
      </w:r>
      <w:r>
        <w:rPr>
          <w:rFonts w:ascii="Times New Roman" w:eastAsia="仿宋_GB2312" w:hAnsi="Times New Roman" w:hint="eastAsia"/>
          <w:sz w:val="32"/>
          <w:szCs w:val="32"/>
        </w:rPr>
        <w:t>。少量的农药残留不会引起人体急性中毒，但长期食用农药残留超标的食品，对人体健康有一定影响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369F6" w:rsidRPr="001A3300" w:rsidRDefault="0065506D" w:rsidP="00EE1A2B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九</w:t>
      </w:r>
      <w:r w:rsidR="00D369F6" w:rsidRPr="001A3300">
        <w:rPr>
          <w:rFonts w:eastAsia="黑体" w:hint="eastAsia"/>
          <w:sz w:val="32"/>
          <w:szCs w:val="32"/>
        </w:rPr>
        <w:t>、丙溴磷</w:t>
      </w:r>
    </w:p>
    <w:p w:rsidR="00D369F6" w:rsidRDefault="00D369F6" w:rsidP="00EE1A2B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丙溴磷是一种具有触杀和胃毒作用，专用于杀灭刺吸式口器害虫的超高效有机磷杀虫剂。《食品安全国家标准</w:t>
      </w:r>
      <w:r w:rsidR="00E1580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</w:t>
      </w:r>
      <w:r w:rsidR="001A3300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丙溴磷在柑橘中的最大残留限量为</w:t>
      </w:r>
      <w:r>
        <w:rPr>
          <w:rFonts w:ascii="Times New Roman" w:eastAsia="仿宋_GB2312" w:hAnsi="Times New Roman"/>
          <w:sz w:val="32"/>
          <w:szCs w:val="32"/>
        </w:rPr>
        <w:t>0.2mg/kg</w:t>
      </w:r>
      <w:r>
        <w:rPr>
          <w:rFonts w:ascii="Times New Roman" w:eastAsia="仿宋_GB2312" w:hAnsi="Times New Roman" w:hint="eastAsia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65506D" w:rsidRPr="001A3300" w:rsidRDefault="0065506D" w:rsidP="0065506D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1A3300">
        <w:rPr>
          <w:rFonts w:eastAsia="黑体" w:hint="eastAsia"/>
          <w:sz w:val="32"/>
          <w:szCs w:val="32"/>
        </w:rPr>
        <w:t>十、氧乐果</w:t>
      </w:r>
    </w:p>
    <w:p w:rsidR="0065506D" w:rsidRPr="0065506D" w:rsidRDefault="0065506D" w:rsidP="0065506D">
      <w:pPr>
        <w:spacing w:line="640" w:lineRule="exact"/>
        <w:ind w:firstLine="645"/>
        <w:rPr>
          <w:rFonts w:ascii="仿宋_GB2312" w:eastAsia="仿宋_GB2312"/>
          <w:sz w:val="32"/>
          <w:szCs w:val="32"/>
        </w:rPr>
      </w:pPr>
      <w:bookmarkStart w:id="1" w:name="_Toc30283"/>
      <w:bookmarkStart w:id="2" w:name="_Toc14504"/>
      <w:r>
        <w:rPr>
          <w:rFonts w:ascii="仿宋_GB2312" w:eastAsia="仿宋_GB2312" w:hint="eastAsia"/>
          <w:sz w:val="32"/>
          <w:szCs w:val="32"/>
        </w:rPr>
        <w:t>氧乐果属于有机磷类杀虫剂，具有较强的内吸、触杀和胃毒作用，主要用于防治吮吸式口器害虫和植物性螨。</w:t>
      </w:r>
      <w:bookmarkEnd w:id="1"/>
      <w:bookmarkEnd w:id="2"/>
      <w:r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E1580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</w:t>
      </w:r>
      <w:r>
        <w:rPr>
          <w:rFonts w:ascii="仿宋_GB2312" w:eastAsia="仿宋_GB2312" w:hint="eastAsia"/>
          <w:sz w:val="32"/>
          <w:szCs w:val="32"/>
        </w:rPr>
        <w:t>氧乐果</w:t>
      </w:r>
      <w:r>
        <w:rPr>
          <w:rFonts w:ascii="Times New Roman" w:eastAsia="仿宋_GB2312" w:hAnsi="Times New Roman" w:hint="eastAsia"/>
          <w:sz w:val="32"/>
          <w:szCs w:val="32"/>
        </w:rPr>
        <w:t>在豆类蔬菜中的最大残留限量为</w:t>
      </w:r>
      <w:r>
        <w:rPr>
          <w:rFonts w:ascii="Times New Roman" w:eastAsia="仿宋_GB2312" w:hAnsi="Times New Roman"/>
          <w:sz w:val="32"/>
          <w:szCs w:val="32"/>
        </w:rPr>
        <w:t>0.02mg/kg</w:t>
      </w:r>
      <w:r>
        <w:rPr>
          <w:rFonts w:ascii="Times New Roman" w:eastAsia="仿宋_GB2312" w:hAnsi="Times New Roman" w:hint="eastAsia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D369F6" w:rsidRPr="001A3300" w:rsidRDefault="0065506D" w:rsidP="00EE1A2B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十一</w:t>
      </w:r>
      <w:r w:rsidR="00D369F6" w:rsidRPr="001A3300">
        <w:rPr>
          <w:rFonts w:eastAsia="黑体" w:hint="eastAsia"/>
          <w:sz w:val="32"/>
          <w:szCs w:val="32"/>
        </w:rPr>
        <w:t>、恩诺沙星（以恩诺沙星与环丙沙星之和计）</w:t>
      </w:r>
    </w:p>
    <w:p w:rsidR="00D369F6" w:rsidRDefault="00D369F6" w:rsidP="00EE1A2B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号）中规定，恩诺沙星（以恩诺沙星和环丙沙星之和计）可用于牛、羊、猪、兔、禽等食用畜禽及其他动物，但在产蛋鸡中禁用（鸡蛋中不得检出）。长期食用恩诺沙星残留超标的食品，对人体健康有一定影响。</w:t>
      </w:r>
    </w:p>
    <w:p w:rsidR="00D369F6" w:rsidRPr="001A3300" w:rsidRDefault="001A3300" w:rsidP="00EE1A2B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1A3300">
        <w:rPr>
          <w:rFonts w:eastAsia="黑体" w:hint="eastAsia"/>
          <w:sz w:val="32"/>
          <w:szCs w:val="32"/>
        </w:rPr>
        <w:t>十</w:t>
      </w:r>
      <w:r w:rsidR="0065506D">
        <w:rPr>
          <w:rFonts w:eastAsia="黑体" w:hint="eastAsia"/>
          <w:sz w:val="32"/>
          <w:szCs w:val="32"/>
        </w:rPr>
        <w:t>二</w:t>
      </w:r>
      <w:r w:rsidR="00D369F6" w:rsidRPr="001A3300">
        <w:rPr>
          <w:rFonts w:eastAsia="黑体" w:hint="eastAsia"/>
          <w:sz w:val="32"/>
          <w:szCs w:val="32"/>
        </w:rPr>
        <w:t>、磺胺类（总量）</w:t>
      </w:r>
    </w:p>
    <w:p w:rsidR="00D369F6" w:rsidRPr="001A3300" w:rsidRDefault="00D369F6" w:rsidP="00EE1A2B">
      <w:pPr>
        <w:spacing w:line="640" w:lineRule="exact"/>
        <w:ind w:firstLine="645"/>
        <w:rPr>
          <w:rFonts w:ascii="Times New Roman" w:eastAsia="仿宋_GB2312" w:hAnsi="Times New Roman"/>
          <w:sz w:val="32"/>
          <w:szCs w:val="32"/>
        </w:rPr>
      </w:pPr>
      <w:r w:rsidRPr="001A3300">
        <w:rPr>
          <w:rFonts w:ascii="Times New Roman" w:eastAsia="仿宋_GB2312" w:hAnsi="Times New Roman"/>
          <w:sz w:val="32"/>
          <w:szCs w:val="32"/>
        </w:rPr>
        <w:t>磺胺类药物是一种人工合成的抗菌谱较广、性质稳定、使用简便的抗菌药，对大多数革兰氏阳性菌和阴性菌都有较强抑制作用，广泛用于防治鸡球虫病。《动物性食品中兽药最高残留限量》（农业部公告第</w:t>
      </w:r>
      <w:r w:rsidRPr="001A3300">
        <w:rPr>
          <w:rFonts w:ascii="Times New Roman" w:eastAsia="仿宋_GB2312" w:hAnsi="Times New Roman"/>
          <w:sz w:val="32"/>
          <w:szCs w:val="32"/>
        </w:rPr>
        <w:t>235</w:t>
      </w:r>
      <w:r w:rsidRPr="001A3300">
        <w:rPr>
          <w:rFonts w:ascii="Times New Roman" w:eastAsia="仿宋_GB2312" w:hAnsi="Times New Roman"/>
          <w:sz w:val="32"/>
          <w:szCs w:val="32"/>
        </w:rPr>
        <w:t>号）</w:t>
      </w:r>
      <w:r w:rsidR="001A3300" w:rsidRPr="001A3300">
        <w:rPr>
          <w:rFonts w:ascii="Times New Roman" w:eastAsia="仿宋_GB2312" w:hAnsi="Times New Roman"/>
          <w:sz w:val="32"/>
          <w:szCs w:val="32"/>
        </w:rPr>
        <w:t>中</w:t>
      </w:r>
      <w:r w:rsidRPr="001A3300">
        <w:rPr>
          <w:rFonts w:ascii="Times New Roman" w:eastAsia="仿宋_GB2312" w:hAnsi="Times New Roman"/>
          <w:sz w:val="32"/>
          <w:szCs w:val="32"/>
        </w:rPr>
        <w:t>规定</w:t>
      </w:r>
      <w:r w:rsidR="001A3300" w:rsidRPr="001A3300">
        <w:rPr>
          <w:rFonts w:ascii="Times New Roman" w:eastAsia="仿宋_GB2312" w:hAnsi="Times New Roman"/>
          <w:sz w:val="32"/>
          <w:szCs w:val="32"/>
        </w:rPr>
        <w:t>，</w:t>
      </w:r>
      <w:r w:rsidRPr="001A3300">
        <w:rPr>
          <w:rFonts w:ascii="Times New Roman" w:eastAsia="仿宋_GB2312" w:hAnsi="Times New Roman"/>
          <w:sz w:val="32"/>
          <w:szCs w:val="32"/>
        </w:rPr>
        <w:t>磺胺类在所有食品动物的肌肉和脂肪中的最高残留限量为</w:t>
      </w:r>
      <w:r w:rsidRPr="001A3300">
        <w:rPr>
          <w:rFonts w:ascii="Times New Roman" w:eastAsia="仿宋_GB2312" w:hAnsi="Times New Roman"/>
          <w:sz w:val="32"/>
          <w:szCs w:val="32"/>
        </w:rPr>
        <w:t>100μg/kg</w:t>
      </w:r>
      <w:r w:rsidRPr="001A3300">
        <w:rPr>
          <w:rFonts w:ascii="Times New Roman" w:eastAsia="仿宋_GB2312" w:hAnsi="Times New Roman"/>
          <w:sz w:val="32"/>
          <w:szCs w:val="32"/>
        </w:rPr>
        <w:t>。长期摄入磺胺类超标的动物性食品，可能导致泌尿系统和肝脏损伤等健康危害。</w:t>
      </w:r>
    </w:p>
    <w:p w:rsidR="00D369F6" w:rsidRPr="00D369F6" w:rsidRDefault="00D369F6" w:rsidP="00EE1A2B">
      <w:pPr>
        <w:spacing w:line="640" w:lineRule="exact"/>
        <w:ind w:firstLineChars="200" w:firstLine="640"/>
        <w:rPr>
          <w:rFonts w:ascii="Times New Roman" w:hAnsi="Times New Roman"/>
          <w:sz w:val="32"/>
          <w:szCs w:val="32"/>
        </w:rPr>
      </w:pPr>
    </w:p>
    <w:sectPr w:rsidR="00D369F6" w:rsidRPr="00D369F6" w:rsidSect="005C63D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8AE" w:rsidRDefault="00DE18AE" w:rsidP="009E3670">
      <w:r>
        <w:separator/>
      </w:r>
    </w:p>
  </w:endnote>
  <w:endnote w:type="continuationSeparator" w:id="1">
    <w:p w:rsidR="00DE18AE" w:rsidRDefault="00DE18AE" w:rsidP="009E3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683333"/>
      <w:docPartObj>
        <w:docPartGallery w:val="Page Numbers (Bottom of Page)"/>
        <w:docPartUnique/>
      </w:docPartObj>
    </w:sdtPr>
    <w:sdtContent>
      <w:p w:rsidR="00B235CE" w:rsidRDefault="00423608">
        <w:pPr>
          <w:pStyle w:val="a6"/>
          <w:jc w:val="center"/>
        </w:pPr>
        <w:r>
          <w:fldChar w:fldCharType="begin"/>
        </w:r>
        <w:r w:rsidR="00B235CE">
          <w:instrText>PAGE   \* MERGEFORMAT</w:instrText>
        </w:r>
        <w:r>
          <w:fldChar w:fldCharType="separate"/>
        </w:r>
        <w:r w:rsidR="002F2D35" w:rsidRPr="002F2D35">
          <w:rPr>
            <w:noProof/>
            <w:lang w:val="zh-CN"/>
          </w:rPr>
          <w:t>1</w:t>
        </w:r>
        <w:r>
          <w:fldChar w:fldCharType="end"/>
        </w:r>
      </w:p>
    </w:sdtContent>
  </w:sdt>
  <w:p w:rsidR="00B235CE" w:rsidRDefault="00B235C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8AE" w:rsidRDefault="00DE18AE" w:rsidP="009E3670">
      <w:r>
        <w:separator/>
      </w:r>
    </w:p>
  </w:footnote>
  <w:footnote w:type="continuationSeparator" w:id="1">
    <w:p w:rsidR="00DE18AE" w:rsidRDefault="00DE18AE" w:rsidP="009E3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E362A"/>
    <w:multiLevelType w:val="hybridMultilevel"/>
    <w:tmpl w:val="C2C234FA"/>
    <w:lvl w:ilvl="0" w:tplc="7AA6AEC2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4FC1202"/>
    <w:multiLevelType w:val="hybridMultilevel"/>
    <w:tmpl w:val="70A4A26A"/>
    <w:lvl w:ilvl="0" w:tplc="8990EE1C">
      <w:start w:val="1"/>
      <w:numFmt w:val="japaneseCounting"/>
      <w:lvlText w:val="%1、"/>
      <w:lvlJc w:val="left"/>
      <w:pPr>
        <w:ind w:left="1360" w:hanging="7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6BC"/>
    <w:rsid w:val="00020ECA"/>
    <w:rsid w:val="000E0C7D"/>
    <w:rsid w:val="001702B0"/>
    <w:rsid w:val="0018713C"/>
    <w:rsid w:val="001A3300"/>
    <w:rsid w:val="001A5435"/>
    <w:rsid w:val="001F48F1"/>
    <w:rsid w:val="0020555A"/>
    <w:rsid w:val="002F2D35"/>
    <w:rsid w:val="003228B5"/>
    <w:rsid w:val="003A408C"/>
    <w:rsid w:val="00423608"/>
    <w:rsid w:val="005C63DF"/>
    <w:rsid w:val="005D2A45"/>
    <w:rsid w:val="005E00D8"/>
    <w:rsid w:val="0065506D"/>
    <w:rsid w:val="007D2B68"/>
    <w:rsid w:val="00882D20"/>
    <w:rsid w:val="008E6E19"/>
    <w:rsid w:val="009442F2"/>
    <w:rsid w:val="009E3670"/>
    <w:rsid w:val="00A92D33"/>
    <w:rsid w:val="00AD4008"/>
    <w:rsid w:val="00B235CE"/>
    <w:rsid w:val="00C162CA"/>
    <w:rsid w:val="00C736BC"/>
    <w:rsid w:val="00D369F6"/>
    <w:rsid w:val="00D72619"/>
    <w:rsid w:val="00DE18AE"/>
    <w:rsid w:val="00E1580D"/>
    <w:rsid w:val="00EE1A2B"/>
    <w:rsid w:val="00F13E80"/>
    <w:rsid w:val="00F537A2"/>
    <w:rsid w:val="00F558F5"/>
    <w:rsid w:val="00FE6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69F6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D369F6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E3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367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E3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E367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69F6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D369F6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E3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E367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E3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E367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397</Words>
  <Characters>2263</Characters>
  <Application>Microsoft Office Word</Application>
  <DocSecurity>0</DocSecurity>
  <Lines>18</Lines>
  <Paragraphs>5</Paragraphs>
  <ScaleCrop>false</ScaleCrop>
  <Company>CFDA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yyh</dc:creator>
  <cp:lastModifiedBy>李慧晨</cp:lastModifiedBy>
  <cp:revision>2</cp:revision>
  <dcterms:created xsi:type="dcterms:W3CDTF">2018-11-22T01:25:00Z</dcterms:created>
  <dcterms:modified xsi:type="dcterms:W3CDTF">2018-11-22T01:25:00Z</dcterms:modified>
</cp:coreProperties>
</file>